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44"/>
          <w:szCs w:val="44"/>
        </w:rPr>
      </w:pPr>
      <w:r>
        <w:rPr>
          <w:rFonts w:hint="eastAsia" w:eastAsia="黑体"/>
          <w:b/>
          <w:sz w:val="44"/>
          <w:szCs w:val="44"/>
        </w:rPr>
        <w:t xml:space="preserve"> </w:t>
      </w:r>
    </w:p>
    <w:p>
      <w:pPr>
        <w:jc w:val="center"/>
        <w:rPr>
          <w:rFonts w:eastAsia="黑体"/>
          <w:b/>
          <w:sz w:val="44"/>
          <w:szCs w:val="44"/>
        </w:rPr>
      </w:pPr>
      <w:r>
        <w:rPr>
          <w:rFonts w:eastAsia="黑体"/>
          <w:b/>
          <w:sz w:val="44"/>
          <w:szCs w:val="44"/>
        </w:rPr>
        <w:t>《</w:t>
      </w:r>
      <w:r>
        <w:rPr>
          <w:rFonts w:hint="eastAsia" w:eastAsia="黑体"/>
          <w:b/>
          <w:sz w:val="44"/>
          <w:szCs w:val="44"/>
        </w:rPr>
        <w:t>石菖蒲</w:t>
      </w:r>
      <w:r>
        <w:rPr>
          <w:rFonts w:eastAsia="黑体"/>
          <w:b/>
          <w:sz w:val="44"/>
          <w:szCs w:val="44"/>
        </w:rPr>
        <w:t>采收</w:t>
      </w:r>
      <w:r>
        <w:rPr>
          <w:rFonts w:hint="eastAsia" w:eastAsia="黑体"/>
          <w:b/>
          <w:sz w:val="44"/>
          <w:szCs w:val="44"/>
        </w:rPr>
        <w:t>与产地</w:t>
      </w:r>
      <w:r>
        <w:rPr>
          <w:rFonts w:eastAsia="黑体"/>
          <w:b/>
          <w:sz w:val="44"/>
          <w:szCs w:val="44"/>
        </w:rPr>
        <w:t>初加工技术</w:t>
      </w:r>
      <w:r>
        <w:rPr>
          <w:rFonts w:hint="eastAsia" w:eastAsia="黑体"/>
          <w:b/>
          <w:sz w:val="44"/>
          <w:szCs w:val="44"/>
        </w:rPr>
        <w:t>规程</w:t>
      </w:r>
      <w:r>
        <w:rPr>
          <w:rFonts w:eastAsia="黑体"/>
          <w:b/>
          <w:sz w:val="44"/>
          <w:szCs w:val="44"/>
        </w:rPr>
        <w:t>》</w:t>
      </w:r>
    </w:p>
    <w:p>
      <w:pPr>
        <w:jc w:val="center"/>
        <w:rPr>
          <w:rFonts w:eastAsia="黑体"/>
          <w:b/>
          <w:sz w:val="44"/>
          <w:szCs w:val="44"/>
        </w:rPr>
      </w:pPr>
      <w:r>
        <w:rPr>
          <w:rFonts w:hint="eastAsia" w:eastAsia="黑体"/>
          <w:b/>
          <w:sz w:val="44"/>
          <w:szCs w:val="44"/>
        </w:rPr>
        <w:t>湖南省地方标准</w:t>
      </w:r>
      <w:r>
        <w:rPr>
          <w:rFonts w:eastAsia="黑体"/>
          <w:b/>
          <w:sz w:val="44"/>
          <w:szCs w:val="44"/>
        </w:rPr>
        <w:t>编制说明</w:t>
      </w:r>
    </w:p>
    <w:p>
      <w:pPr>
        <w:jc w:val="center"/>
        <w:rPr>
          <w:rFonts w:hint="eastAsia" w:ascii="宋体" w:hAnsi="宋体" w:eastAsia="宋体" w:cs="黑体"/>
          <w:sz w:val="30"/>
          <w:szCs w:val="30"/>
          <w:lang w:eastAsia="zh-CN"/>
        </w:rPr>
      </w:pPr>
      <w:r>
        <w:rPr>
          <w:rFonts w:hint="eastAsia" w:ascii="宋体" w:hAnsi="宋体" w:eastAsia="宋体" w:cs="黑体"/>
          <w:sz w:val="30"/>
          <w:szCs w:val="30"/>
          <w:lang w:eastAsia="zh-CN"/>
        </w:rPr>
        <w:t>（征求意见稿）</w:t>
      </w:r>
    </w:p>
    <w:p>
      <w:pPr>
        <w:rPr>
          <w:rFonts w:ascii="宋体" w:hAnsi="宋体" w:eastAsia="宋体" w:cs="黑体"/>
          <w:szCs w:val="21"/>
        </w:rPr>
      </w:pPr>
      <w:bookmarkStart w:id="7" w:name="_GoBack"/>
      <w:bookmarkEnd w:id="7"/>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ascii="Times New Roman" w:hAnsi="Times New Roman" w:eastAsia="宋体" w:cs="Times New Roman"/>
          <w:b/>
          <w:bCs/>
          <w:sz w:val="30"/>
          <w:szCs w:val="30"/>
        </w:rPr>
        <w:t>一、工作简况</w:t>
      </w:r>
    </w:p>
    <w:p>
      <w:pPr>
        <w:snapToGrid w:val="0"/>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1.标准项目的来源</w:t>
      </w:r>
    </w:p>
    <w:p>
      <w:pPr>
        <w:autoSpaceDE w:val="0"/>
        <w:autoSpaceDN w:val="0"/>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本项目由湖南农业大学20</w:t>
      </w:r>
      <w:r>
        <w:rPr>
          <w:rFonts w:hint="eastAsia" w:ascii="Times New Roman" w:hAnsi="Times New Roman" w:eastAsia="宋体" w:cs="Times New Roman"/>
          <w:sz w:val="24"/>
          <w:szCs w:val="24"/>
        </w:rPr>
        <w:t>21</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10</w:t>
      </w:r>
      <w:r>
        <w:rPr>
          <w:rFonts w:ascii="Times New Roman" w:hAnsi="Times New Roman" w:eastAsia="宋体" w:cs="Times New Roman"/>
          <w:sz w:val="24"/>
          <w:szCs w:val="24"/>
        </w:rPr>
        <w:t>月向湖南省市场监督管理局申请，于202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1</w:t>
      </w:r>
      <w:r>
        <w:rPr>
          <w:rFonts w:ascii="Times New Roman" w:hAnsi="Times New Roman" w:eastAsia="宋体" w:cs="Times New Roman"/>
          <w:sz w:val="24"/>
          <w:szCs w:val="24"/>
        </w:rPr>
        <w:t>月</w:t>
      </w:r>
      <w:r>
        <w:rPr>
          <w:rFonts w:hint="eastAsia" w:ascii="Times New Roman" w:hAnsi="Times New Roman" w:eastAsia="宋体" w:cs="Times New Roman"/>
          <w:sz w:val="24"/>
          <w:szCs w:val="24"/>
        </w:rPr>
        <w:t>以《湖南省市场监督管理局关于下达</w:t>
      </w:r>
      <w:r>
        <w:rPr>
          <w:rFonts w:ascii="Times New Roman" w:hAnsi="Times New Roman" w:eastAsia="宋体" w:cs="Times New Roman"/>
          <w:sz w:val="24"/>
          <w:szCs w:val="24"/>
        </w:rPr>
        <w:t xml:space="preserve"> 2022 年第一批地方标准制修订</w:t>
      </w:r>
      <w:r>
        <w:rPr>
          <w:rFonts w:hint="eastAsia" w:ascii="Times New Roman" w:hAnsi="Times New Roman" w:eastAsia="宋体" w:cs="Times New Roman"/>
          <w:sz w:val="24"/>
          <w:szCs w:val="24"/>
        </w:rPr>
        <w:t>项目计划的通知》文件</w:t>
      </w:r>
      <w:r>
        <w:rPr>
          <w:rFonts w:ascii="Times New Roman" w:hAnsi="Times New Roman" w:eastAsia="宋体" w:cs="Times New Roman"/>
          <w:sz w:val="24"/>
          <w:szCs w:val="24"/>
        </w:rPr>
        <w:t>批准立项，项目起止时间为202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年1月至202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年12月。</w:t>
      </w:r>
    </w:p>
    <w:p>
      <w:pPr>
        <w:snapToGrid w:val="0"/>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2.起草单位、协作单位</w:t>
      </w:r>
    </w:p>
    <w:p>
      <w:pPr>
        <w:autoSpaceDE w:val="0"/>
        <w:autoSpaceDN w:val="0"/>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湖南农业大学是该规程编制的主要承担单位，整体负责起草。</w:t>
      </w:r>
      <w:r>
        <w:rPr>
          <w:rFonts w:hint="eastAsia" w:ascii="Times New Roman" w:hAnsi="Times New Roman" w:eastAsia="宋体" w:cs="Times New Roman"/>
          <w:sz w:val="24"/>
          <w:szCs w:val="24"/>
        </w:rPr>
        <w:t>湖南省湘枳生物科技有限公司</w:t>
      </w:r>
      <w:r>
        <w:rPr>
          <w:rFonts w:ascii="Times New Roman" w:hAnsi="Times New Roman" w:eastAsia="宋体" w:cs="Times New Roman"/>
          <w:sz w:val="24"/>
          <w:szCs w:val="24"/>
        </w:rPr>
        <w:t>、湖南省中药材产业协会</w:t>
      </w:r>
      <w:r>
        <w:rPr>
          <w:rFonts w:hint="eastAsia" w:ascii="Times New Roman" w:hAnsi="Times New Roman" w:eastAsia="宋体" w:cs="Times New Roman"/>
          <w:sz w:val="24"/>
          <w:szCs w:val="24"/>
        </w:rPr>
        <w:t>、</w:t>
      </w:r>
      <w:r>
        <w:rPr>
          <w:rFonts w:ascii="Times New Roman" w:hAnsi="Times New Roman" w:eastAsia="宋体" w:cs="Times New Roman"/>
          <w:sz w:val="24"/>
          <w:szCs w:val="24"/>
        </w:rPr>
        <w:t>湖南省农科院等单位均是</w:t>
      </w:r>
      <w:r>
        <w:rPr>
          <w:rFonts w:hint="eastAsia" w:ascii="Times New Roman" w:hAnsi="Times New Roman" w:eastAsia="宋体" w:cs="Times New Roman"/>
          <w:sz w:val="24"/>
          <w:szCs w:val="24"/>
        </w:rPr>
        <w:t>石栀子</w:t>
      </w:r>
      <w:r>
        <w:rPr>
          <w:rFonts w:ascii="Times New Roman" w:hAnsi="Times New Roman" w:eastAsia="宋体" w:cs="Times New Roman"/>
          <w:sz w:val="24"/>
          <w:szCs w:val="24"/>
        </w:rPr>
        <w:t>采收与产地初加工技术规范研究和示范推广单位，协助起草本标准，并提出了极其宝贵的意见和建议。</w:t>
      </w:r>
    </w:p>
    <w:p>
      <w:pPr>
        <w:snapToGrid w:val="0"/>
        <w:spacing w:line="360" w:lineRule="auto"/>
        <w:ind w:firstLine="562" w:firstLineChars="200"/>
        <w:rPr>
          <w:rFonts w:ascii="Times New Roman" w:hAnsi="Times New Roman" w:eastAsia="宋体" w:cs="Times New Roman"/>
          <w:b/>
          <w:sz w:val="28"/>
          <w:szCs w:val="28"/>
        </w:rPr>
      </w:pPr>
      <w:r>
        <w:rPr>
          <w:rFonts w:ascii="Times New Roman" w:hAnsi="Times New Roman" w:eastAsia="宋体" w:cs="Times New Roman"/>
          <w:b/>
          <w:sz w:val="28"/>
          <w:szCs w:val="28"/>
        </w:rPr>
        <w:t>3.主要起草人及分工</w:t>
      </w:r>
    </w:p>
    <w:p>
      <w:pPr>
        <w:pStyle w:val="13"/>
        <w:spacing w:line="360" w:lineRule="auto"/>
        <w:ind w:firstLine="480" w:firstLineChars="0"/>
        <w:rPr>
          <w:rFonts w:ascii="Times New Roman" w:hAnsi="Times New Roman" w:cs="Times New Roman"/>
          <w:sz w:val="24"/>
          <w:szCs w:val="24"/>
        </w:rPr>
      </w:pPr>
      <w:r>
        <w:rPr>
          <w:rFonts w:ascii="Times New Roman" w:hAnsi="Times New Roman" w:cs="Times New Roman"/>
          <w:sz w:val="24"/>
          <w:szCs w:val="24"/>
        </w:rPr>
        <w:t>项目负责人谢红旗为湖南农业大学教授</w:t>
      </w:r>
      <w:r>
        <w:rPr>
          <w:rFonts w:hint="eastAsia" w:ascii="Times New Roman" w:hAnsi="Times New Roman" w:cs="Times New Roman"/>
          <w:sz w:val="24"/>
          <w:szCs w:val="24"/>
        </w:rPr>
        <w:t>，湖南省中药材产业技术体系采收与产地初加工岗位专家，</w:t>
      </w:r>
      <w:r>
        <w:rPr>
          <w:rFonts w:ascii="Times New Roman" w:hAnsi="Times New Roman" w:cs="Times New Roman"/>
          <w:sz w:val="24"/>
          <w:szCs w:val="24"/>
        </w:rPr>
        <w:t>从事</w:t>
      </w:r>
      <w:r>
        <w:rPr>
          <w:rFonts w:hint="eastAsia" w:ascii="Times New Roman" w:hAnsi="Times New Roman" w:cs="Times New Roman"/>
          <w:sz w:val="24"/>
          <w:szCs w:val="24"/>
        </w:rPr>
        <w:t>中药材产地初加工技术</w:t>
      </w:r>
      <w:r>
        <w:rPr>
          <w:rFonts w:ascii="Times New Roman" w:hAnsi="Times New Roman" w:cs="Times New Roman"/>
          <w:sz w:val="24"/>
          <w:szCs w:val="24"/>
        </w:rPr>
        <w:t>研究和社会服务多年，熟悉</w:t>
      </w:r>
      <w:r>
        <w:rPr>
          <w:rFonts w:hint="eastAsia" w:ascii="Times New Roman" w:hAnsi="Times New Roman" w:cs="Times New Roman"/>
          <w:sz w:val="24"/>
          <w:szCs w:val="24"/>
        </w:rPr>
        <w:t>杜仲</w:t>
      </w:r>
      <w:r>
        <w:rPr>
          <w:rFonts w:ascii="Times New Roman" w:hAnsi="Times New Roman" w:cs="Times New Roman"/>
          <w:sz w:val="24"/>
          <w:szCs w:val="24"/>
        </w:rPr>
        <w:t>采收与初加工生产的关键技术和环节。项目组成员参与</w:t>
      </w:r>
      <w:r>
        <w:rPr>
          <w:rFonts w:hint="eastAsia" w:ascii="Times New Roman" w:hAnsi="Times New Roman" w:cs="Times New Roman"/>
          <w:sz w:val="24"/>
          <w:szCs w:val="24"/>
        </w:rPr>
        <w:t>石菖蒲</w:t>
      </w:r>
      <w:r>
        <w:rPr>
          <w:rFonts w:ascii="Times New Roman" w:hAnsi="Times New Roman" w:cs="Times New Roman"/>
          <w:sz w:val="24"/>
          <w:szCs w:val="24"/>
        </w:rPr>
        <w:t>采收与产地初加工技术相关研究与生产，并有参加相关标准编制的经历和工作经验，</w:t>
      </w:r>
      <w:r>
        <w:rPr>
          <w:rFonts w:hint="eastAsia" w:ascii="Times New Roman" w:hAnsi="Times New Roman" w:cs="Times New Roman"/>
          <w:sz w:val="24"/>
          <w:szCs w:val="24"/>
        </w:rPr>
        <w:t>近年来负责人所在项目组先后承担了国家科技支撑课题“基于鲜药材产地初加工技术与设备”、国家中药材产业技术体系采收及产地初加工岗位、湖南省中药材产业技术体系采收与产地初加工岗位、科技厅“百合、山银花等中药材采收与产地初加工研究与示范”项目、科技厅“湘九味产地初加工及湘产药材区划研究”等项目。先后完成了百合、黄精、山银花、枳壳、博落回、玄参、吴茱萸等品种的采收与产地初加工技术规程湖南省地方标准的编制。</w:t>
      </w:r>
    </w:p>
    <w:p>
      <w:pPr>
        <w:autoSpaceDE w:val="0"/>
        <w:autoSpaceDN w:val="0"/>
        <w:adjustRightInd w:val="0"/>
        <w:snapToGrid w:val="0"/>
        <w:spacing w:line="360" w:lineRule="auto"/>
        <w:ind w:firstLine="480" w:firstLineChars="200"/>
        <w:jc w:val="left"/>
        <w:rPr>
          <w:rFonts w:ascii="Times New Roman" w:hAnsi="Times New Roman" w:eastAsia="宋体" w:cs="Times New Roman"/>
          <w:sz w:val="24"/>
          <w:szCs w:val="24"/>
        </w:rPr>
      </w:pPr>
    </w:p>
    <w:p>
      <w:pPr>
        <w:pStyle w:val="13"/>
        <w:spacing w:line="360" w:lineRule="auto"/>
        <w:ind w:firstLine="0" w:firstLineChars="0"/>
        <w:jc w:val="center"/>
        <w:rPr>
          <w:rFonts w:ascii="Times New Roman" w:hAnsi="Times New Roman" w:eastAsia="黑体" w:cs="Times New Roman"/>
          <w:szCs w:val="21"/>
        </w:rPr>
      </w:pPr>
    </w:p>
    <w:p>
      <w:pPr>
        <w:pStyle w:val="13"/>
        <w:spacing w:line="360" w:lineRule="auto"/>
        <w:ind w:firstLine="0" w:firstLineChars="0"/>
        <w:jc w:val="center"/>
        <w:rPr>
          <w:rFonts w:ascii="Times New Roman" w:hAnsi="Times New Roman" w:eastAsia="黑体" w:cs="Times New Roman"/>
          <w:szCs w:val="21"/>
        </w:rPr>
      </w:pPr>
    </w:p>
    <w:p>
      <w:pPr>
        <w:pStyle w:val="13"/>
        <w:spacing w:line="360" w:lineRule="auto"/>
        <w:ind w:firstLine="0" w:firstLineChars="0"/>
        <w:jc w:val="center"/>
        <w:rPr>
          <w:rFonts w:ascii="Times New Roman" w:hAnsi="Times New Roman" w:eastAsia="黑体" w:cs="Times New Roman"/>
          <w:szCs w:val="21"/>
        </w:rPr>
      </w:pPr>
      <w:r>
        <w:rPr>
          <w:rFonts w:ascii="Times New Roman" w:hAnsi="Times New Roman" w:eastAsia="黑体" w:cs="Times New Roman"/>
          <w:szCs w:val="21"/>
        </w:rPr>
        <w:t>表1 项目主要参与单位及人员分工</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09"/>
        <w:gridCol w:w="1276"/>
        <w:gridCol w:w="2693"/>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ascii="宋体" w:hAnsi="宋体" w:eastAsia="宋体" w:cs="Times New Roman"/>
                <w:sz w:val="18"/>
                <w:szCs w:val="18"/>
              </w:rPr>
              <w:t>姓名</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性别</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职务/职称</w:t>
            </w:r>
          </w:p>
        </w:tc>
        <w:tc>
          <w:tcPr>
            <w:tcW w:w="2693" w:type="dxa"/>
            <w:vAlign w:val="center"/>
          </w:tcPr>
          <w:p>
            <w:pPr>
              <w:jc w:val="center"/>
              <w:rPr>
                <w:rFonts w:ascii="宋体" w:hAnsi="宋体" w:eastAsia="宋体" w:cs="Times New Roman"/>
                <w:sz w:val="18"/>
                <w:szCs w:val="18"/>
              </w:rPr>
            </w:pPr>
            <w:r>
              <w:rPr>
                <w:rFonts w:ascii="宋体" w:hAnsi="宋体" w:eastAsia="宋体" w:cs="Times New Roman"/>
                <w:sz w:val="18"/>
                <w:szCs w:val="18"/>
              </w:rPr>
              <w:t>项目任务分工</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hint="eastAsia" w:ascii="宋体" w:hAnsi="宋体" w:eastAsia="宋体" w:cs="Times New Roman"/>
                <w:color w:val="333333"/>
                <w:sz w:val="18"/>
                <w:szCs w:val="18"/>
                <w:shd w:val="clear" w:color="auto" w:fill="FFFFFF"/>
              </w:rPr>
              <w:t>谢红旗</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教授</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技术规程编写</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曾建国</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教授</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技术规程编写</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hint="eastAsia" w:ascii="宋体" w:hAnsi="宋体" w:eastAsia="宋体" w:cs="Times New Roman"/>
                <w:color w:val="333333"/>
                <w:sz w:val="18"/>
                <w:szCs w:val="18"/>
                <w:shd w:val="clear" w:color="auto" w:fill="FFFFFF"/>
              </w:rPr>
              <w:t>熊伟</w:t>
            </w:r>
          </w:p>
        </w:tc>
        <w:tc>
          <w:tcPr>
            <w:tcW w:w="70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董事长</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数据调查</w:t>
            </w:r>
          </w:p>
        </w:tc>
        <w:tc>
          <w:tcPr>
            <w:tcW w:w="248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湖南</w:t>
            </w:r>
            <w:r>
              <w:rPr>
                <w:rFonts w:ascii="宋体" w:hAnsi="宋体" w:eastAsia="宋体" w:cs="Times New Roman"/>
                <w:sz w:val="18"/>
                <w:szCs w:val="18"/>
              </w:rPr>
              <w:t>湘枳生物科技有限公司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hint="eastAsia" w:ascii="宋体" w:hAnsi="宋体" w:eastAsia="宋体" w:cs="Times New Roman"/>
                <w:color w:val="333333"/>
                <w:sz w:val="18"/>
                <w:szCs w:val="18"/>
                <w:shd w:val="clear" w:color="auto" w:fill="FFFFFF"/>
              </w:rPr>
              <w:t>刘存</w:t>
            </w:r>
          </w:p>
        </w:tc>
        <w:tc>
          <w:tcPr>
            <w:tcW w:w="70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总经理</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工艺验证</w:t>
            </w:r>
          </w:p>
        </w:tc>
        <w:tc>
          <w:tcPr>
            <w:tcW w:w="248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湖南</w:t>
            </w:r>
            <w:r>
              <w:rPr>
                <w:rFonts w:ascii="宋体" w:hAnsi="宋体" w:eastAsia="宋体" w:cs="Times New Roman"/>
                <w:sz w:val="18"/>
                <w:szCs w:val="18"/>
              </w:rPr>
              <w:t>湘枳生物科技有限公司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18"/>
                <w:szCs w:val="18"/>
                <w:shd w:val="clear" w:color="auto" w:fill="FFFFFF"/>
              </w:rPr>
            </w:pPr>
            <w:r>
              <w:rPr>
                <w:rFonts w:ascii="宋体" w:hAnsi="宋体" w:eastAsia="宋体" w:cs="Times New Roman"/>
                <w:color w:val="333333"/>
                <w:sz w:val="18"/>
                <w:szCs w:val="18"/>
                <w:shd w:val="clear" w:color="auto" w:fill="FFFFFF"/>
              </w:rPr>
              <w:t>向维</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讲师</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数据调查</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18"/>
                <w:szCs w:val="18"/>
                <w:shd w:val="clear" w:color="auto" w:fill="FFFFFF"/>
              </w:rPr>
            </w:pPr>
            <w:r>
              <w:rPr>
                <w:rFonts w:ascii="宋体" w:hAnsi="宋体" w:eastAsia="宋体" w:cs="Times New Roman"/>
                <w:color w:val="333333"/>
                <w:sz w:val="18"/>
                <w:szCs w:val="18"/>
                <w:shd w:val="clear" w:color="auto" w:fill="FFFFFF"/>
              </w:rPr>
              <w:t>伍蕙岚</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女</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研究生</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统计分析数据</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18"/>
                <w:szCs w:val="18"/>
                <w:shd w:val="clear" w:color="auto" w:fill="FFFFFF"/>
              </w:rPr>
            </w:pPr>
            <w:r>
              <w:rPr>
                <w:rFonts w:hint="eastAsia" w:ascii="宋体" w:hAnsi="宋体" w:eastAsia="宋体" w:cs="Times New Roman"/>
                <w:color w:val="333333"/>
                <w:sz w:val="18"/>
                <w:szCs w:val="18"/>
                <w:shd w:val="clear" w:color="auto" w:fill="FFFFFF"/>
              </w:rPr>
              <w:t>杨子墨</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女</w:t>
            </w:r>
          </w:p>
        </w:tc>
        <w:tc>
          <w:tcPr>
            <w:tcW w:w="1276"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秘书长</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数据调查</w:t>
            </w:r>
          </w:p>
        </w:tc>
        <w:tc>
          <w:tcPr>
            <w:tcW w:w="248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湖南省中药材产业协会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ascii="宋体" w:hAnsi="宋体" w:eastAsia="宋体" w:cs="Times New Roman"/>
                <w:sz w:val="18"/>
                <w:szCs w:val="18"/>
              </w:rPr>
              <w:t>刘舒</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女</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部长</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数据调查</w:t>
            </w:r>
          </w:p>
        </w:tc>
        <w:tc>
          <w:tcPr>
            <w:tcW w:w="248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湖南省中药材产业协会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sz w:val="18"/>
                <w:szCs w:val="18"/>
              </w:rPr>
            </w:pPr>
            <w:r>
              <w:rPr>
                <w:rFonts w:ascii="宋体" w:hAnsi="宋体" w:eastAsia="宋体" w:cs="Times New Roman"/>
                <w:sz w:val="18"/>
                <w:szCs w:val="18"/>
              </w:rPr>
              <w:t>朱校奇</w:t>
            </w:r>
          </w:p>
        </w:tc>
        <w:tc>
          <w:tcPr>
            <w:tcW w:w="709"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研究员</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规程编写</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湖南省农业科学院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18"/>
                <w:szCs w:val="18"/>
                <w:shd w:val="clear" w:color="auto" w:fill="FFFFFF"/>
              </w:rPr>
            </w:pPr>
            <w:r>
              <w:rPr>
                <w:rFonts w:ascii="宋体" w:hAnsi="宋体" w:eastAsia="宋体" w:cs="Times New Roman"/>
                <w:color w:val="333333"/>
                <w:sz w:val="18"/>
                <w:szCs w:val="18"/>
                <w:shd w:val="clear" w:color="auto" w:fill="FFFFFF"/>
              </w:rPr>
              <w:t>宋荣</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副研究员</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规程编写</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湖南省农业科学院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cs="Times New Roman"/>
                <w:color w:val="333333"/>
                <w:sz w:val="18"/>
                <w:szCs w:val="18"/>
                <w:shd w:val="clear" w:color="auto" w:fill="FFFFFF"/>
              </w:rPr>
            </w:pPr>
            <w:r>
              <w:rPr>
                <w:rFonts w:hint="eastAsia" w:ascii="宋体" w:hAnsi="宋体" w:eastAsia="宋体" w:cs="Times New Roman"/>
                <w:color w:val="333333"/>
                <w:sz w:val="18"/>
                <w:szCs w:val="18"/>
                <w:shd w:val="clear" w:color="auto" w:fill="FFFFFF"/>
              </w:rPr>
              <w:t>杨博</w:t>
            </w:r>
          </w:p>
        </w:tc>
        <w:tc>
          <w:tcPr>
            <w:tcW w:w="709" w:type="dxa"/>
            <w:vAlign w:val="center"/>
          </w:tcPr>
          <w:p>
            <w:pPr>
              <w:jc w:val="center"/>
              <w:rPr>
                <w:rFonts w:ascii="宋体" w:hAnsi="宋体" w:eastAsia="宋体" w:cs="Times New Roman"/>
                <w:sz w:val="18"/>
                <w:szCs w:val="18"/>
              </w:rPr>
            </w:pPr>
            <w:r>
              <w:rPr>
                <w:rFonts w:ascii="宋体" w:hAnsi="宋体" w:eastAsia="宋体" w:cs="Times New Roman"/>
                <w:sz w:val="18"/>
                <w:szCs w:val="18"/>
              </w:rPr>
              <w:t>男</w:t>
            </w:r>
          </w:p>
        </w:tc>
        <w:tc>
          <w:tcPr>
            <w:tcW w:w="1276" w:type="dxa"/>
            <w:vAlign w:val="center"/>
          </w:tcPr>
          <w:p>
            <w:pPr>
              <w:jc w:val="center"/>
              <w:rPr>
                <w:rFonts w:ascii="宋体" w:hAnsi="宋体" w:eastAsia="宋体" w:cs="Times New Roman"/>
                <w:sz w:val="18"/>
                <w:szCs w:val="18"/>
              </w:rPr>
            </w:pPr>
            <w:r>
              <w:rPr>
                <w:rFonts w:ascii="宋体" w:hAnsi="宋体" w:eastAsia="宋体" w:cs="Times New Roman"/>
                <w:sz w:val="18"/>
                <w:szCs w:val="18"/>
              </w:rPr>
              <w:t>研究生</w:t>
            </w:r>
          </w:p>
        </w:tc>
        <w:tc>
          <w:tcPr>
            <w:tcW w:w="2693" w:type="dxa"/>
            <w:vAlign w:val="center"/>
          </w:tcPr>
          <w:p>
            <w:pPr>
              <w:jc w:val="center"/>
              <w:rPr>
                <w:rFonts w:ascii="宋体" w:hAnsi="宋体" w:eastAsia="宋体" w:cs="Times New Roman"/>
                <w:sz w:val="18"/>
                <w:szCs w:val="18"/>
              </w:rPr>
            </w:pPr>
            <w:r>
              <w:rPr>
                <w:rFonts w:hint="eastAsia" w:ascii="宋体" w:hAnsi="宋体" w:eastAsia="宋体" w:cs="Times New Roman"/>
                <w:sz w:val="18"/>
                <w:szCs w:val="18"/>
              </w:rPr>
              <w:t>试验验证</w:t>
            </w:r>
          </w:p>
        </w:tc>
        <w:tc>
          <w:tcPr>
            <w:tcW w:w="2489" w:type="dxa"/>
            <w:vAlign w:val="center"/>
          </w:tcPr>
          <w:p>
            <w:pPr>
              <w:jc w:val="center"/>
              <w:rPr>
                <w:rFonts w:ascii="宋体" w:hAnsi="宋体" w:eastAsia="宋体" w:cs="Times New Roman"/>
                <w:sz w:val="18"/>
                <w:szCs w:val="18"/>
              </w:rPr>
            </w:pPr>
            <w:r>
              <w:rPr>
                <w:rFonts w:ascii="宋体" w:hAnsi="宋体" w:eastAsia="宋体" w:cs="Times New Roman"/>
                <w:sz w:val="18"/>
                <w:szCs w:val="18"/>
              </w:rPr>
              <w:t>湖南农业大学</w:t>
            </w:r>
          </w:p>
        </w:tc>
      </w:tr>
    </w:tbl>
    <w:p>
      <w:pPr>
        <w:pStyle w:val="13"/>
        <w:spacing w:before="312" w:beforeLines="100" w:line="360" w:lineRule="auto"/>
        <w:ind w:firstLine="602"/>
        <w:rPr>
          <w:b/>
          <w:sz w:val="30"/>
          <w:szCs w:val="30"/>
        </w:rPr>
      </w:pPr>
      <w:r>
        <w:rPr>
          <w:rFonts w:hint="eastAsia"/>
          <w:b/>
          <w:sz w:val="30"/>
          <w:szCs w:val="30"/>
        </w:rPr>
        <w:t>二、制定</w:t>
      </w:r>
      <w:r>
        <w:rPr>
          <w:b/>
          <w:sz w:val="30"/>
          <w:szCs w:val="30"/>
        </w:rPr>
        <w:t>标准的</w:t>
      </w:r>
      <w:r>
        <w:rPr>
          <w:rFonts w:hint="eastAsia"/>
          <w:b/>
          <w:sz w:val="30"/>
          <w:szCs w:val="30"/>
        </w:rPr>
        <w:t>必要性和意义</w:t>
      </w:r>
    </w:p>
    <w:p>
      <w:pPr>
        <w:pStyle w:val="5"/>
        <w:shd w:val="clear" w:color="auto" w:fill="FFFFFF"/>
        <w:spacing w:after="150" w:line="360" w:lineRule="auto"/>
        <w:ind w:firstLine="480" w:firstLineChars="200"/>
        <w:rPr>
          <w:rFonts w:ascii="宋体" w:hAnsi="宋体" w:cs="宋体"/>
          <w:sz w:val="24"/>
          <w:szCs w:val="24"/>
        </w:rPr>
      </w:pPr>
      <w:r>
        <w:rPr>
          <w:rFonts w:hint="eastAsia" w:ascii="宋体" w:hAnsi="宋体" w:cs="宋体"/>
          <w:sz w:val="24"/>
          <w:szCs w:val="24"/>
        </w:rPr>
        <w:t>石菖蒲（</w:t>
      </w:r>
      <w:r>
        <w:rPr>
          <w:rFonts w:ascii="Times New Roman" w:hAnsi="Times New Roman" w:eastAsia="黑体" w:cs="Times New Roman"/>
          <w:sz w:val="24"/>
          <w:szCs w:val="24"/>
        </w:rPr>
        <w:t>Acroi Tatarinowii Rhizoma</w:t>
      </w:r>
      <w:r>
        <w:rPr>
          <w:rFonts w:ascii="宋体" w:hAnsi="宋体" w:cs="宋体"/>
          <w:sz w:val="24"/>
          <w:szCs w:val="24"/>
        </w:rPr>
        <w:t>）来源于</w:t>
      </w:r>
      <w:r>
        <w:rPr>
          <w:rFonts w:hint="eastAsia" w:ascii="宋体" w:hAnsi="宋体" w:cs="宋体"/>
          <w:sz w:val="24"/>
          <w:szCs w:val="24"/>
        </w:rPr>
        <w:t>天南星</w:t>
      </w:r>
      <w:r>
        <w:rPr>
          <w:rFonts w:ascii="宋体" w:hAnsi="宋体" w:cs="宋体"/>
          <w:sz w:val="24"/>
          <w:szCs w:val="24"/>
        </w:rPr>
        <w:t>科植</w:t>
      </w:r>
      <w:r>
        <w:rPr>
          <w:rFonts w:hint="eastAsia" w:ascii="宋体" w:hAnsi="宋体" w:cs="宋体"/>
          <w:sz w:val="24"/>
          <w:szCs w:val="24"/>
        </w:rPr>
        <w:t>物石菖蒲</w:t>
      </w:r>
      <w:r>
        <w:rPr>
          <w:rFonts w:ascii="Times New Roman" w:hAnsi="Times New Roman" w:cs="宋体"/>
          <w:i/>
          <w:sz w:val="24"/>
          <w:szCs w:val="24"/>
        </w:rPr>
        <w:t>Acorus tatarinowii Schott</w:t>
      </w:r>
      <w:r>
        <w:rPr>
          <w:rFonts w:ascii="宋体" w:hAnsi="宋体" w:cs="宋体"/>
          <w:sz w:val="24"/>
          <w:szCs w:val="24"/>
        </w:rPr>
        <w:t>的干燥根茎</w:t>
      </w:r>
      <w:r>
        <w:rPr>
          <w:rFonts w:hint="eastAsia" w:ascii="宋体" w:hAnsi="宋体" w:cs="宋体"/>
          <w:sz w:val="24"/>
          <w:szCs w:val="24"/>
        </w:rPr>
        <w:t>，其具有</w:t>
      </w:r>
      <w:r>
        <w:rPr>
          <w:rFonts w:ascii="宋体" w:hAnsi="宋体" w:cs="宋体"/>
          <w:sz w:val="24"/>
          <w:szCs w:val="24"/>
        </w:rPr>
        <w:t>开窍豁痰，醒神益智，化湿开胃。用于神昏癫痫，健忘失眠，耳鸣耳聋，脘痞不饥，噤口下痢。是</w:t>
      </w:r>
      <w:r>
        <w:rPr>
          <w:rFonts w:hint="eastAsia" w:ascii="宋体" w:hAnsi="宋体" w:cs="宋体"/>
          <w:sz w:val="24"/>
          <w:szCs w:val="24"/>
        </w:rPr>
        <w:t>一些</w:t>
      </w:r>
      <w:r>
        <w:rPr>
          <w:rFonts w:ascii="宋体" w:hAnsi="宋体" w:cs="宋体"/>
          <w:sz w:val="24"/>
          <w:szCs w:val="24"/>
        </w:rPr>
        <w:t>抗病毒药的主要</w:t>
      </w:r>
      <w:r>
        <w:rPr>
          <w:rFonts w:hint="eastAsia" w:ascii="宋体" w:hAnsi="宋体" w:cs="宋体"/>
          <w:sz w:val="24"/>
          <w:szCs w:val="24"/>
        </w:rPr>
        <w:t>原料。</w:t>
      </w:r>
    </w:p>
    <w:p>
      <w:pPr>
        <w:pStyle w:val="5"/>
        <w:shd w:val="clear" w:color="auto" w:fill="FFFFFF"/>
        <w:spacing w:after="150" w:line="360" w:lineRule="auto"/>
        <w:ind w:firstLine="480" w:firstLineChars="200"/>
        <w:jc w:val="both"/>
        <w:rPr>
          <w:rFonts w:ascii="宋体" w:hAnsi="宋体" w:cs="宋体"/>
          <w:sz w:val="24"/>
          <w:szCs w:val="24"/>
        </w:rPr>
      </w:pPr>
      <w:r>
        <w:rPr>
          <w:rFonts w:hint="eastAsia" w:ascii="宋体" w:hAnsi="宋体" w:cs="宋体"/>
          <w:sz w:val="24"/>
          <w:szCs w:val="24"/>
        </w:rPr>
        <w:t>目前中国药典关于石菖蒲的初加工方法规定为：</w:t>
      </w:r>
      <w:r>
        <w:rPr>
          <w:rFonts w:ascii="宋体" w:hAnsi="宋体" w:cs="宋体"/>
          <w:sz w:val="24"/>
          <w:szCs w:val="24"/>
        </w:rPr>
        <w:t>秋、冬二季采挖，除去须根和泥沙，晒干</w:t>
      </w:r>
      <w:r>
        <w:rPr>
          <w:rFonts w:hint="eastAsia" w:ascii="宋体" w:hAnsi="宋体" w:cs="宋体"/>
          <w:sz w:val="24"/>
          <w:szCs w:val="24"/>
        </w:rPr>
        <w:t>；石菖蒲</w:t>
      </w:r>
      <w:r>
        <w:rPr>
          <w:rFonts w:ascii="宋体" w:hAnsi="宋体" w:cs="宋体"/>
          <w:sz w:val="24"/>
          <w:szCs w:val="24"/>
        </w:rPr>
        <w:t>饮片加工方法为</w:t>
      </w:r>
      <w:r>
        <w:rPr>
          <w:rFonts w:hint="eastAsia" w:ascii="宋体" w:hAnsi="宋体" w:cs="宋体"/>
          <w:sz w:val="24"/>
          <w:szCs w:val="24"/>
        </w:rPr>
        <w:t>：</w:t>
      </w:r>
      <w:r>
        <w:rPr>
          <w:rFonts w:ascii="宋体" w:hAnsi="宋体" w:cs="宋体"/>
          <w:sz w:val="24"/>
          <w:szCs w:val="24"/>
        </w:rPr>
        <w:t>除去杂质，洗净，润透，切厚片，干燥。药典规定</w:t>
      </w:r>
      <w:r>
        <w:rPr>
          <w:rFonts w:hint="eastAsia" w:ascii="宋体" w:hAnsi="宋体" w:cs="宋体"/>
          <w:sz w:val="24"/>
          <w:szCs w:val="24"/>
        </w:rPr>
        <w:t>石菖蒲</w:t>
      </w:r>
      <w:r>
        <w:rPr>
          <w:rFonts w:ascii="宋体" w:hAnsi="宋体" w:cs="宋体"/>
          <w:sz w:val="24"/>
          <w:szCs w:val="24"/>
        </w:rPr>
        <w:t>的产地初加工的干燥方法</w:t>
      </w:r>
      <w:r>
        <w:rPr>
          <w:rFonts w:hint="eastAsia" w:ascii="宋体" w:hAnsi="宋体" w:cs="宋体"/>
          <w:sz w:val="24"/>
          <w:szCs w:val="24"/>
        </w:rPr>
        <w:t>进仅描述为晒干，</w:t>
      </w:r>
      <w:r>
        <w:rPr>
          <w:rFonts w:ascii="宋体" w:hAnsi="宋体" w:cs="宋体"/>
          <w:sz w:val="24"/>
          <w:szCs w:val="24"/>
        </w:rPr>
        <w:t>随着市场对</w:t>
      </w:r>
      <w:r>
        <w:rPr>
          <w:rFonts w:hint="eastAsia" w:ascii="宋体" w:hAnsi="宋体" w:cs="宋体"/>
          <w:sz w:val="24"/>
          <w:szCs w:val="24"/>
        </w:rPr>
        <w:t>石菖蒲</w:t>
      </w:r>
      <w:r>
        <w:rPr>
          <w:rFonts w:ascii="宋体" w:hAnsi="宋体" w:cs="宋体"/>
          <w:sz w:val="24"/>
          <w:szCs w:val="24"/>
        </w:rPr>
        <w:t>药材的市场需求越来越大</w:t>
      </w:r>
      <w:r>
        <w:rPr>
          <w:rFonts w:hint="eastAsia" w:ascii="宋体" w:hAnsi="宋体" w:cs="宋体"/>
          <w:sz w:val="24"/>
          <w:szCs w:val="24"/>
        </w:rPr>
        <w:t>，石菖蒲</w:t>
      </w:r>
      <w:r>
        <w:rPr>
          <w:rFonts w:ascii="宋体" w:hAnsi="宋体" w:cs="宋体"/>
          <w:sz w:val="24"/>
          <w:szCs w:val="24"/>
        </w:rPr>
        <w:t>的生产模式由原来的野生采</w:t>
      </w:r>
      <w:r>
        <w:rPr>
          <w:rFonts w:hint="eastAsia" w:ascii="宋体" w:hAnsi="宋体" w:cs="宋体"/>
          <w:sz w:val="24"/>
          <w:szCs w:val="24"/>
        </w:rPr>
        <w:t>摘</w:t>
      </w:r>
      <w:r>
        <w:rPr>
          <w:rFonts w:ascii="宋体" w:hAnsi="宋体" w:cs="宋体"/>
          <w:sz w:val="24"/>
          <w:szCs w:val="24"/>
        </w:rPr>
        <w:t>逐渐向规模化人工种植转变</w:t>
      </w:r>
      <w:r>
        <w:rPr>
          <w:rFonts w:hint="eastAsia" w:ascii="宋体" w:hAnsi="宋体" w:cs="宋体"/>
          <w:sz w:val="24"/>
          <w:szCs w:val="24"/>
        </w:rPr>
        <w:t>，</w:t>
      </w:r>
      <w:r>
        <w:rPr>
          <w:rFonts w:ascii="宋体" w:hAnsi="宋体" w:cs="宋体"/>
          <w:sz w:val="24"/>
          <w:szCs w:val="24"/>
        </w:rPr>
        <w:t>湖南省</w:t>
      </w:r>
      <w:r>
        <w:rPr>
          <w:rFonts w:hint="eastAsia" w:ascii="宋体" w:hAnsi="宋体" w:cs="宋体"/>
          <w:sz w:val="24"/>
          <w:szCs w:val="24"/>
        </w:rPr>
        <w:t>澧县</w:t>
      </w:r>
      <w:r>
        <w:rPr>
          <w:rFonts w:ascii="宋体" w:hAnsi="宋体" w:cs="宋体"/>
          <w:sz w:val="24"/>
          <w:szCs w:val="24"/>
        </w:rPr>
        <w:t>及周边地区开始规模化种植</w:t>
      </w:r>
      <w:r>
        <w:rPr>
          <w:rFonts w:hint="eastAsia" w:ascii="宋体" w:hAnsi="宋体" w:cs="宋体"/>
          <w:sz w:val="24"/>
          <w:szCs w:val="24"/>
        </w:rPr>
        <w:t>石菖蒲，</w:t>
      </w:r>
      <w:r>
        <w:rPr>
          <w:rFonts w:ascii="宋体" w:hAnsi="宋体" w:cs="宋体"/>
          <w:sz w:val="24"/>
          <w:szCs w:val="24"/>
        </w:rPr>
        <w:t>产量越来越大</w:t>
      </w:r>
      <w:r>
        <w:rPr>
          <w:rFonts w:hint="eastAsia" w:ascii="宋体" w:hAnsi="宋体" w:cs="宋体"/>
          <w:sz w:val="24"/>
          <w:szCs w:val="24"/>
        </w:rPr>
        <w:t>，</w:t>
      </w:r>
      <w:r>
        <w:rPr>
          <w:rFonts w:ascii="宋体" w:hAnsi="宋体" w:cs="宋体"/>
          <w:sz w:val="24"/>
          <w:szCs w:val="24"/>
        </w:rPr>
        <w:t>常规的晒干不能满足生产的需求</w:t>
      </w:r>
      <w:r>
        <w:rPr>
          <w:rFonts w:hint="eastAsia" w:ascii="宋体" w:hAnsi="宋体" w:cs="宋体"/>
          <w:sz w:val="24"/>
          <w:szCs w:val="24"/>
        </w:rPr>
        <w:t>。</w:t>
      </w:r>
      <w:r>
        <w:rPr>
          <w:rFonts w:ascii="宋体" w:hAnsi="宋体" w:cs="宋体"/>
          <w:sz w:val="24"/>
          <w:szCs w:val="24"/>
        </w:rPr>
        <w:t>晒干的方式由于受天气的影响</w:t>
      </w:r>
      <w:r>
        <w:rPr>
          <w:rFonts w:hint="eastAsia" w:ascii="宋体" w:hAnsi="宋体" w:cs="宋体"/>
          <w:sz w:val="24"/>
          <w:szCs w:val="24"/>
        </w:rPr>
        <w:t>，</w:t>
      </w:r>
      <w:r>
        <w:rPr>
          <w:rFonts w:ascii="宋体" w:hAnsi="宋体" w:cs="宋体"/>
          <w:sz w:val="24"/>
          <w:szCs w:val="24"/>
        </w:rPr>
        <w:t>加工得到的</w:t>
      </w:r>
      <w:r>
        <w:rPr>
          <w:rFonts w:hint="eastAsia" w:ascii="宋体" w:hAnsi="宋体" w:cs="宋体"/>
          <w:sz w:val="24"/>
          <w:szCs w:val="24"/>
        </w:rPr>
        <w:t>石菖蒲</w:t>
      </w:r>
      <w:r>
        <w:rPr>
          <w:rFonts w:ascii="宋体" w:hAnsi="宋体" w:cs="宋体"/>
          <w:sz w:val="24"/>
          <w:szCs w:val="24"/>
        </w:rPr>
        <w:t>药材质量往往不稳定</w:t>
      </w:r>
      <w:r>
        <w:rPr>
          <w:rFonts w:hint="eastAsia" w:ascii="宋体" w:hAnsi="宋体" w:cs="宋体"/>
          <w:sz w:val="24"/>
          <w:szCs w:val="24"/>
        </w:rPr>
        <w:t>，</w:t>
      </w:r>
      <w:r>
        <w:rPr>
          <w:rFonts w:ascii="宋体" w:hAnsi="宋体" w:cs="宋体"/>
          <w:sz w:val="24"/>
          <w:szCs w:val="24"/>
        </w:rPr>
        <w:t>为了适应</w:t>
      </w:r>
      <w:r>
        <w:rPr>
          <w:rFonts w:hint="eastAsia" w:ascii="宋体" w:hAnsi="宋体" w:cs="宋体"/>
          <w:sz w:val="24"/>
          <w:szCs w:val="24"/>
        </w:rPr>
        <w:t>石菖蒲</w:t>
      </w:r>
      <w:r>
        <w:rPr>
          <w:rFonts w:ascii="宋体" w:hAnsi="宋体" w:cs="宋体"/>
          <w:sz w:val="24"/>
          <w:szCs w:val="24"/>
        </w:rPr>
        <w:t>产业的新发展</w:t>
      </w:r>
      <w:r>
        <w:rPr>
          <w:rFonts w:hint="eastAsia" w:ascii="宋体" w:hAnsi="宋体" w:cs="宋体"/>
          <w:sz w:val="24"/>
          <w:szCs w:val="24"/>
        </w:rPr>
        <w:t>，开展栀子械化初加工技术研发，制定技术规程，保证栀子药材质量就有重要的应用价值。</w:t>
      </w:r>
    </w:p>
    <w:p>
      <w:pPr>
        <w:pStyle w:val="5"/>
        <w:shd w:val="clear" w:color="auto" w:fill="FFFFFF"/>
        <w:spacing w:after="150" w:line="360" w:lineRule="auto"/>
        <w:ind w:firstLine="480" w:firstLineChars="200"/>
        <w:jc w:val="both"/>
        <w:rPr>
          <w:rFonts w:ascii="宋体" w:hAnsi="宋体" w:cs="宋体"/>
          <w:sz w:val="24"/>
          <w:szCs w:val="24"/>
        </w:rPr>
      </w:pPr>
      <w:r>
        <w:rPr>
          <w:rFonts w:ascii="Times New Roman" w:hAnsi="Times New Roman" w:cs="Times New Roman"/>
          <w:sz w:val="24"/>
          <w:szCs w:val="24"/>
        </w:rPr>
        <w:t>湖南省作为</w:t>
      </w:r>
      <w:r>
        <w:rPr>
          <w:rFonts w:hint="eastAsia" w:ascii="Times New Roman" w:hAnsi="Times New Roman" w:cs="Times New Roman"/>
          <w:sz w:val="24"/>
          <w:szCs w:val="24"/>
        </w:rPr>
        <w:t>石菖蒲的出产大省</w:t>
      </w:r>
      <w:r>
        <w:rPr>
          <w:rFonts w:ascii="Times New Roman" w:hAnsi="Times New Roman" w:cs="Times New Roman"/>
          <w:sz w:val="24"/>
          <w:szCs w:val="24"/>
        </w:rPr>
        <w:t>，缺乏相应的地方标准对其采收、初加工、贮运进行指导及规范。此外，湖南为大陆性亚热带季风湿润气候，气候具有三个特点：第一、光、热、水资源丰富，三者的高值又基本同步。第二，气候年内变化较大。冬寒冷而夏酷热，春温多变，秋温陡降，春夏多雨，秋冬干旱。气候的年际变化也较大。第三，气候垂直变化最明显的地带为三面环山的山地。所产</w:t>
      </w:r>
      <w:r>
        <w:rPr>
          <w:rFonts w:hint="eastAsia" w:ascii="Times New Roman" w:hAnsi="Times New Roman" w:cs="Times New Roman"/>
          <w:sz w:val="24"/>
          <w:szCs w:val="24"/>
        </w:rPr>
        <w:t>石菖蒲</w:t>
      </w:r>
      <w:r>
        <w:rPr>
          <w:rFonts w:ascii="Times New Roman" w:hAnsi="Times New Roman" w:cs="Times New Roman"/>
          <w:sz w:val="24"/>
          <w:szCs w:val="24"/>
        </w:rPr>
        <w:t>具有浓厚的本土特征，故有必要对湖南种的</w:t>
      </w:r>
      <w:r>
        <w:rPr>
          <w:rFonts w:hint="eastAsia" w:ascii="Times New Roman" w:hAnsi="Times New Roman" w:cs="Times New Roman"/>
          <w:sz w:val="24"/>
          <w:szCs w:val="24"/>
        </w:rPr>
        <w:t>石菖蒲</w:t>
      </w:r>
      <w:r>
        <w:rPr>
          <w:rFonts w:ascii="Times New Roman" w:hAnsi="Times New Roman" w:cs="Times New Roman"/>
          <w:sz w:val="24"/>
          <w:szCs w:val="24"/>
        </w:rPr>
        <w:t>在采收、加工、贮运方面做进一步研究及规范。</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本项目通过对石菖蒲产地初加工的工艺（干燥温度、干燥时间）进行考察，以石菖蒲性状及质量为评价指标，综合分析得出石菖蒲产地初加工的最佳工艺参数，建立石菖蒲产地初加工技术规范，指导企业药材生产，对确保石菖蒲质量、提高企业生产效率、降低生产成本、保障药材质量具有重要的意义。</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中药材的包装、贮藏和保管也是关乎中药材质量的一个重要环节，但长期以来一直不受人们重视。目前中国药典关于的贮藏也只简略地规定为：置干燥处，防霉。而湖南的湿热气候对药材的储存有诸多不利的影响严重影响药材的质量，贮藏条件会显著影响药材质量。因此，做好石菖蒲的储藏养护工作，才能确保石菖蒲的质量，保障人民用药安全和有效。本项目通过观察石菖蒲在不同包装储存条件下质量和品质的变化，以期探寻经济实用的石菖蒲优质包装、储藏方法。</w:t>
      </w:r>
    </w:p>
    <w:p>
      <w:pPr>
        <w:pStyle w:val="13"/>
        <w:spacing w:line="360" w:lineRule="auto"/>
        <w:ind w:firstLine="480"/>
        <w:rPr>
          <w:rFonts w:hAnsi="宋体" w:cs="宋体"/>
          <w:kern w:val="0"/>
          <w:szCs w:val="21"/>
        </w:rPr>
      </w:pPr>
      <w:r>
        <w:rPr>
          <w:rFonts w:hint="eastAsia" w:hAnsi="宋体" w:cs="宋体"/>
          <w:kern w:val="0"/>
          <w:sz w:val="24"/>
          <w:szCs w:val="24"/>
        </w:rPr>
        <w:t>目前，我省尚没有制定有关石菖蒲采收、初加工、贮运技术规范的地方标准，不利于石菖蒲采收、初加工、贮运的规范化管理。制定石菖蒲采收与产地初加工技术规范的地方标准，对规范石菖蒲的采收、初加工、包装、贮运，保障石菖蒲的质量、安全等具有重要意义。</w:t>
      </w:r>
    </w:p>
    <w:p>
      <w:pPr>
        <w:spacing w:before="312" w:beforeLines="100" w:line="360" w:lineRule="auto"/>
        <w:ind w:firstLine="602" w:firstLineChars="200"/>
        <w:rPr>
          <w:rFonts w:ascii="Times New Roman" w:hAnsi="Times New Roman" w:eastAsia="宋体" w:cs="Times New Roman"/>
          <w:b/>
          <w:sz w:val="30"/>
          <w:szCs w:val="30"/>
        </w:rPr>
      </w:pPr>
      <w:r>
        <w:rPr>
          <w:rFonts w:ascii="Times New Roman" w:hAnsi="Times New Roman" w:eastAsia="宋体" w:cs="Times New Roman"/>
          <w:b/>
          <w:sz w:val="30"/>
          <w:szCs w:val="30"/>
        </w:rPr>
        <w:t>三、标准起草过程</w:t>
      </w:r>
    </w:p>
    <w:p>
      <w:pPr>
        <w:pStyle w:val="13"/>
        <w:spacing w:line="360" w:lineRule="auto"/>
        <w:ind w:firstLine="418" w:firstLineChars="149"/>
        <w:rPr>
          <w:rFonts w:ascii="Times New Roman" w:hAnsi="Times New Roman" w:cs="Times New Roman"/>
          <w:sz w:val="28"/>
          <w:szCs w:val="28"/>
        </w:rPr>
      </w:pPr>
      <w:r>
        <w:rPr>
          <w:rFonts w:ascii="Times New Roman" w:hAnsi="Times New Roman" w:cs="Times New Roman"/>
          <w:b/>
          <w:sz w:val="28"/>
          <w:szCs w:val="28"/>
        </w:rPr>
        <w:t>1</w:t>
      </w:r>
      <w:r>
        <w:rPr>
          <w:rFonts w:hint="eastAsia" w:ascii="Times New Roman" w:hAnsi="Times New Roman" w:cs="Times New Roman"/>
          <w:b/>
          <w:sz w:val="28"/>
          <w:szCs w:val="28"/>
        </w:rPr>
        <w:t>.</w:t>
      </w:r>
      <w:r>
        <w:rPr>
          <w:rFonts w:ascii="Times New Roman" w:hAnsi="Times New Roman" w:cs="Times New Roman"/>
          <w:b/>
          <w:sz w:val="28"/>
          <w:szCs w:val="28"/>
        </w:rPr>
        <w:t>标准编制原则</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本标准编制以国家《中药材生产质量管理规范（试行）》（国家药品监督管理局令第32号）要求为指导，应用项目组有关采收、加工、储藏等的多项科研技术成果，结合湖南省</w:t>
      </w:r>
      <w:r>
        <w:rPr>
          <w:rFonts w:hint="eastAsia" w:ascii="Times New Roman" w:hAnsi="Times New Roman" w:eastAsia="宋体" w:cs="Times New Roman"/>
          <w:sz w:val="24"/>
          <w:szCs w:val="24"/>
        </w:rPr>
        <w:t>澧县</w:t>
      </w:r>
      <w:r>
        <w:rPr>
          <w:rFonts w:ascii="Times New Roman" w:hAnsi="Times New Roman" w:eastAsia="宋体" w:cs="Times New Roman"/>
          <w:sz w:val="24"/>
          <w:szCs w:val="24"/>
        </w:rPr>
        <w:t>及其周边地区</w:t>
      </w:r>
      <w:r>
        <w:rPr>
          <w:rFonts w:hint="eastAsia" w:ascii="Times New Roman" w:hAnsi="Times New Roman" w:eastAsia="宋体" w:cs="Times New Roman"/>
          <w:sz w:val="24"/>
          <w:szCs w:val="24"/>
        </w:rPr>
        <w:t>石菖蒲</w:t>
      </w:r>
      <w:r>
        <w:rPr>
          <w:rFonts w:ascii="Times New Roman" w:hAnsi="Times New Roman" w:eastAsia="宋体" w:cs="Times New Roman"/>
          <w:sz w:val="24"/>
          <w:szCs w:val="24"/>
        </w:rPr>
        <w:t>采收、加工、储藏实践及实际，并充分听取各方的意见，遵循科学性、系统性、可靠性、可操作性、规范性等原则制定本标准。本标准的格式按GB/T 1.1-2020《标准化工作导则 第1部分：标准的结构和编写规则》、GB/T 20001.5-2017《标准编写规则 第5部分：规范标准》中的原则要求进行编写。</w:t>
      </w:r>
    </w:p>
    <w:p>
      <w:pPr>
        <w:pStyle w:val="13"/>
        <w:spacing w:line="360" w:lineRule="auto"/>
        <w:ind w:left="420" w:leftChars="200" w:firstLine="0" w:firstLineChars="0"/>
        <w:rPr>
          <w:rFonts w:ascii="Times New Roman" w:hAnsi="Times New Roman" w:cs="Times New Roman"/>
          <w:b/>
          <w:sz w:val="28"/>
          <w:szCs w:val="28"/>
        </w:rPr>
      </w:pPr>
      <w:r>
        <w:rPr>
          <w:rFonts w:ascii="Times New Roman" w:hAnsi="Times New Roman" w:cs="Times New Roman"/>
          <w:b/>
          <w:sz w:val="28"/>
          <w:szCs w:val="28"/>
        </w:rPr>
        <w:t>2</w:t>
      </w:r>
      <w:r>
        <w:rPr>
          <w:rFonts w:hint="eastAsia" w:ascii="Times New Roman" w:hAnsi="Times New Roman" w:cs="Times New Roman"/>
          <w:b/>
          <w:sz w:val="28"/>
          <w:szCs w:val="28"/>
        </w:rPr>
        <w:t>.</w:t>
      </w:r>
      <w:r>
        <w:rPr>
          <w:rFonts w:ascii="Times New Roman" w:hAnsi="Times New Roman" w:cs="Times New Roman"/>
          <w:b/>
          <w:sz w:val="28"/>
          <w:szCs w:val="28"/>
        </w:rPr>
        <w:t>主要工作过程</w:t>
      </w:r>
    </w:p>
    <w:p>
      <w:pPr>
        <w:pStyle w:val="13"/>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（1）前期准备</w:t>
      </w:r>
    </w:p>
    <w:p>
      <w:pPr>
        <w:pStyle w:val="13"/>
        <w:spacing w:line="360" w:lineRule="auto"/>
        <w:ind w:firstLine="480"/>
        <w:rPr>
          <w:rFonts w:ascii="Times New Roman" w:hAnsi="Times New Roman" w:cs="Times New Roman"/>
          <w:szCs w:val="21"/>
        </w:rPr>
      </w:pPr>
      <w:r>
        <w:rPr>
          <w:rFonts w:hint="eastAsia" w:ascii="Times New Roman" w:hAnsi="Times New Roman" w:cs="Times New Roman"/>
          <w:sz w:val="24"/>
          <w:szCs w:val="24"/>
        </w:rPr>
        <w:t>为做好标准编制工作，湖南农业大学、湖南</w:t>
      </w:r>
      <w:r>
        <w:rPr>
          <w:rFonts w:ascii="Times New Roman" w:hAnsi="Times New Roman" w:cs="Times New Roman"/>
          <w:sz w:val="24"/>
          <w:szCs w:val="24"/>
        </w:rPr>
        <w:t>湘枳生物科技有限公司</w:t>
      </w:r>
      <w:r>
        <w:rPr>
          <w:rFonts w:hint="eastAsia" w:ascii="Times New Roman" w:hAnsi="Times New Roman" w:cs="Times New Roman"/>
          <w:sz w:val="24"/>
          <w:szCs w:val="24"/>
        </w:rPr>
        <w:t>、湖南省中药材产业协会、</w:t>
      </w:r>
      <w:r>
        <w:rPr>
          <w:rFonts w:ascii="Times New Roman" w:hAnsi="Times New Roman" w:cs="Times New Roman"/>
          <w:sz w:val="24"/>
          <w:szCs w:val="24"/>
        </w:rPr>
        <w:t>湖南省农业科学院</w:t>
      </w:r>
      <w:r>
        <w:rPr>
          <w:rFonts w:hint="eastAsia" w:ascii="Times New Roman" w:hAnsi="Times New Roman" w:cs="Times New Roman"/>
          <w:sz w:val="24"/>
          <w:szCs w:val="24"/>
        </w:rPr>
        <w:t>于</w:t>
      </w:r>
      <w:r>
        <w:rPr>
          <w:rFonts w:ascii="Times New Roman" w:hAnsi="Times New Roman" w:cs="Times New Roman"/>
          <w:sz w:val="24"/>
          <w:szCs w:val="24"/>
        </w:rPr>
        <w:t>20</w:t>
      </w:r>
      <w:r>
        <w:rPr>
          <w:rFonts w:hint="eastAsia" w:ascii="Times New Roman" w:hAnsi="Times New Roman" w:cs="Times New Roman"/>
          <w:sz w:val="24"/>
          <w:szCs w:val="24"/>
        </w:rPr>
        <w:t>21年</w:t>
      </w:r>
      <w:r>
        <w:rPr>
          <w:rFonts w:ascii="Times New Roman" w:hAnsi="Times New Roman" w:cs="Times New Roman"/>
          <w:sz w:val="24"/>
          <w:szCs w:val="24"/>
        </w:rPr>
        <w:t>12</w:t>
      </w:r>
      <w:r>
        <w:rPr>
          <w:rFonts w:hint="eastAsia" w:ascii="Times New Roman" w:hAnsi="Times New Roman" w:cs="Times New Roman"/>
          <w:sz w:val="24"/>
          <w:szCs w:val="24"/>
        </w:rPr>
        <w:t>月成立了标准编制工作小组，初步拟定了标准工作方案和工作计划。我们收集了湖南、安徽、湖北、四川、浙江等地有关石菖蒲采收、初加工、储藏的技术。</w:t>
      </w:r>
    </w:p>
    <w:p>
      <w:pPr>
        <w:pStyle w:val="13"/>
        <w:spacing w:line="360" w:lineRule="auto"/>
        <w:ind w:left="420" w:leftChars="200" w:firstLine="0" w:firstLineChars="0"/>
        <w:rPr>
          <w:rFonts w:ascii="Times New Roman" w:hAnsi="Times New Roman" w:cs="Times New Roman"/>
          <w:sz w:val="24"/>
          <w:szCs w:val="24"/>
        </w:rPr>
      </w:pPr>
      <w:r>
        <w:rPr>
          <w:rFonts w:hint="eastAsia" w:ascii="Times New Roman" w:hAnsi="Times New Roman" w:cs="Times New Roman"/>
          <w:sz w:val="24"/>
          <w:szCs w:val="24"/>
        </w:rPr>
        <w:t>（2）起草过程</w:t>
      </w:r>
    </w:p>
    <w:p>
      <w:pPr>
        <w:pStyle w:val="13"/>
        <w:spacing w:line="360" w:lineRule="auto"/>
        <w:ind w:firstLine="480"/>
        <w:rPr>
          <w:rFonts w:ascii="Times New Roman"/>
          <w:sz w:val="24"/>
          <w:szCs w:val="24"/>
        </w:rPr>
      </w:pPr>
      <w:r>
        <w:rPr>
          <w:rFonts w:ascii="Times New Roman"/>
          <w:sz w:val="24"/>
          <w:szCs w:val="24"/>
        </w:rPr>
        <w:t>202</w:t>
      </w:r>
      <w:r>
        <w:rPr>
          <w:rFonts w:hint="eastAsia" w:ascii="Times New Roman"/>
          <w:sz w:val="24"/>
          <w:szCs w:val="24"/>
        </w:rPr>
        <w:t>2年1月，经湖南省市场监督局批准立项后，成立标准编制项目组并编制实施方案。</w:t>
      </w:r>
      <w:r>
        <w:rPr>
          <w:rFonts w:ascii="Times New Roman"/>
          <w:sz w:val="24"/>
          <w:szCs w:val="24"/>
        </w:rPr>
        <w:t>202</w:t>
      </w:r>
      <w:r>
        <w:rPr>
          <w:rFonts w:hint="eastAsia" w:ascii="Times New Roman"/>
          <w:sz w:val="24"/>
          <w:szCs w:val="24"/>
        </w:rPr>
        <w:t>2年1月至</w:t>
      </w:r>
      <w:r>
        <w:rPr>
          <w:rFonts w:ascii="Times New Roman"/>
          <w:sz w:val="24"/>
          <w:szCs w:val="24"/>
        </w:rPr>
        <w:t>202</w:t>
      </w:r>
      <w:r>
        <w:rPr>
          <w:rFonts w:hint="eastAsia" w:ascii="Times New Roman"/>
          <w:sz w:val="24"/>
          <w:szCs w:val="24"/>
        </w:rPr>
        <w:t>2年6月，进行资料收集和整理，总结多年的采收与初加工研究与实践，根据多年的试验数据和推广示范结果，参考相关文献资料，遵循国家标准</w:t>
      </w:r>
      <w:r>
        <w:rPr>
          <w:rFonts w:ascii="Times New Roman"/>
          <w:sz w:val="24"/>
          <w:szCs w:val="24"/>
        </w:rPr>
        <w:t>GB/T1.1-20</w:t>
      </w:r>
      <w:r>
        <w:rPr>
          <w:rFonts w:hint="eastAsia" w:ascii="Times New Roman"/>
          <w:sz w:val="24"/>
          <w:szCs w:val="24"/>
        </w:rPr>
        <w:t>20标准化工作导则第</w:t>
      </w:r>
      <w:r>
        <w:rPr>
          <w:rFonts w:ascii="Times New Roman"/>
          <w:sz w:val="24"/>
          <w:szCs w:val="24"/>
        </w:rPr>
        <w:t>1</w:t>
      </w:r>
      <w:r>
        <w:rPr>
          <w:rFonts w:hint="eastAsia" w:ascii="Times New Roman"/>
          <w:sz w:val="24"/>
          <w:szCs w:val="24"/>
        </w:rPr>
        <w:t>部分：标准的结构和编写规则，经项目组讨论修改，于</w:t>
      </w:r>
      <w:r>
        <w:rPr>
          <w:rFonts w:ascii="Times New Roman"/>
          <w:sz w:val="24"/>
          <w:szCs w:val="24"/>
        </w:rPr>
        <w:t>202</w:t>
      </w:r>
      <w:r>
        <w:rPr>
          <w:rFonts w:hint="eastAsia" w:ascii="Times New Roman"/>
          <w:sz w:val="24"/>
          <w:szCs w:val="24"/>
        </w:rPr>
        <w:t>2年9月形成标准征求意见稿。</w:t>
      </w:r>
    </w:p>
    <w:p>
      <w:pPr>
        <w:pStyle w:val="13"/>
        <w:spacing w:line="360" w:lineRule="auto"/>
        <w:ind w:firstLineChars="0"/>
        <w:rPr>
          <w:rFonts w:hAnsi="宋体" w:cs="Times New Roman"/>
          <w:sz w:val="24"/>
          <w:szCs w:val="24"/>
        </w:rPr>
      </w:pPr>
      <w:r>
        <w:rPr>
          <w:rFonts w:hint="eastAsia" w:hAnsi="宋体"/>
          <w:sz w:val="24"/>
          <w:szCs w:val="24"/>
        </w:rPr>
        <w:t>标准编制技术路线：前期准备</w:t>
      </w:r>
      <w:r>
        <w:rPr>
          <w:rFonts w:hAnsi="宋体"/>
          <w:sz w:val="24"/>
          <w:szCs w:val="24"/>
        </w:rPr>
        <w:t>—</w:t>
      </w:r>
      <w:r>
        <w:rPr>
          <w:rFonts w:hint="eastAsia" w:hAnsi="宋体"/>
          <w:sz w:val="24"/>
          <w:szCs w:val="24"/>
        </w:rPr>
        <w:t>项目查新</w:t>
      </w:r>
      <w:r>
        <w:rPr>
          <w:rFonts w:hAnsi="宋体"/>
          <w:sz w:val="24"/>
          <w:szCs w:val="24"/>
        </w:rPr>
        <w:t>—</w:t>
      </w:r>
      <w:r>
        <w:rPr>
          <w:rFonts w:hint="eastAsia" w:hAnsi="宋体"/>
          <w:sz w:val="24"/>
          <w:szCs w:val="24"/>
        </w:rPr>
        <w:t>调研项目申报</w:t>
      </w:r>
      <w:r>
        <w:rPr>
          <w:rFonts w:hAnsi="宋体"/>
          <w:sz w:val="24"/>
          <w:szCs w:val="24"/>
        </w:rPr>
        <w:t>—</w:t>
      </w:r>
      <w:r>
        <w:rPr>
          <w:rFonts w:hint="eastAsia" w:hAnsi="宋体"/>
          <w:sz w:val="24"/>
          <w:szCs w:val="24"/>
        </w:rPr>
        <w:t>项目立项</w:t>
      </w:r>
      <w:r>
        <w:rPr>
          <w:rFonts w:hAnsi="宋体"/>
          <w:sz w:val="24"/>
          <w:szCs w:val="24"/>
        </w:rPr>
        <w:t>—</w:t>
      </w:r>
      <w:r>
        <w:rPr>
          <w:rFonts w:hint="eastAsia" w:hAnsi="宋体"/>
          <w:sz w:val="24"/>
          <w:szCs w:val="24"/>
        </w:rPr>
        <w:t>资料采集</w:t>
      </w:r>
      <w:r>
        <w:rPr>
          <w:rFonts w:hAnsi="宋体"/>
          <w:sz w:val="24"/>
          <w:szCs w:val="24"/>
        </w:rPr>
        <w:t>—</w:t>
      </w:r>
      <w:r>
        <w:rPr>
          <w:rFonts w:hint="eastAsia" w:hAnsi="宋体"/>
          <w:sz w:val="24"/>
          <w:szCs w:val="24"/>
        </w:rPr>
        <w:t>数据统计</w:t>
      </w:r>
      <w:r>
        <w:rPr>
          <w:rFonts w:hAnsi="宋体"/>
          <w:sz w:val="24"/>
          <w:szCs w:val="24"/>
        </w:rPr>
        <w:t>—</w:t>
      </w:r>
      <w:r>
        <w:rPr>
          <w:rFonts w:hint="eastAsia" w:hAnsi="宋体"/>
          <w:sz w:val="24"/>
          <w:szCs w:val="24"/>
        </w:rPr>
        <w:t>标准草稿的编写</w:t>
      </w:r>
      <w:r>
        <w:rPr>
          <w:rFonts w:hAnsi="宋体"/>
          <w:sz w:val="24"/>
          <w:szCs w:val="24"/>
        </w:rPr>
        <w:t>—</w:t>
      </w:r>
      <w:r>
        <w:rPr>
          <w:rFonts w:hint="eastAsia" w:hAnsi="宋体"/>
          <w:sz w:val="24"/>
          <w:szCs w:val="24"/>
        </w:rPr>
        <w:t>编写编制说明</w:t>
      </w:r>
      <w:r>
        <w:rPr>
          <w:rFonts w:hAnsi="宋体"/>
          <w:sz w:val="24"/>
          <w:szCs w:val="24"/>
        </w:rPr>
        <w:t>—</w:t>
      </w:r>
      <w:r>
        <w:rPr>
          <w:rFonts w:hint="eastAsia" w:hAnsi="宋体"/>
          <w:sz w:val="24"/>
          <w:szCs w:val="24"/>
        </w:rPr>
        <w:t>征求专家意见</w:t>
      </w:r>
      <w:r>
        <w:rPr>
          <w:rFonts w:hAnsi="宋体"/>
          <w:sz w:val="24"/>
          <w:szCs w:val="24"/>
        </w:rPr>
        <w:t>—</w:t>
      </w:r>
      <w:r>
        <w:rPr>
          <w:rFonts w:hint="eastAsia" w:hAnsi="宋体"/>
          <w:sz w:val="24"/>
          <w:szCs w:val="24"/>
        </w:rPr>
        <w:t>回收专家意见</w:t>
      </w:r>
      <w:r>
        <w:rPr>
          <w:rFonts w:hAnsi="宋体"/>
          <w:sz w:val="24"/>
          <w:szCs w:val="24"/>
        </w:rPr>
        <w:t>—</w:t>
      </w:r>
      <w:r>
        <w:rPr>
          <w:rFonts w:hint="eastAsia" w:hAnsi="宋体"/>
          <w:sz w:val="24"/>
          <w:szCs w:val="24"/>
        </w:rPr>
        <w:t>根据专家意见进行标准修改</w:t>
      </w:r>
      <w:r>
        <w:rPr>
          <w:rFonts w:hAnsi="宋体"/>
          <w:sz w:val="24"/>
          <w:szCs w:val="24"/>
        </w:rPr>
        <w:t>—</w:t>
      </w:r>
      <w:r>
        <w:rPr>
          <w:rFonts w:hint="eastAsia" w:hAnsi="宋体"/>
          <w:sz w:val="24"/>
          <w:szCs w:val="24"/>
        </w:rPr>
        <w:t>形成标准审查稿</w:t>
      </w:r>
      <w:r>
        <w:rPr>
          <w:rFonts w:hAnsi="宋体"/>
          <w:sz w:val="24"/>
          <w:szCs w:val="24"/>
        </w:rPr>
        <w:t>—</w:t>
      </w:r>
      <w:r>
        <w:rPr>
          <w:rFonts w:hint="eastAsia" w:hAnsi="宋体"/>
          <w:sz w:val="24"/>
          <w:szCs w:val="24"/>
        </w:rPr>
        <w:t>专家会议审查</w:t>
      </w:r>
      <w:r>
        <w:rPr>
          <w:rFonts w:hAnsi="宋体"/>
          <w:sz w:val="24"/>
          <w:szCs w:val="24"/>
        </w:rPr>
        <w:t>—</w:t>
      </w:r>
      <w:r>
        <w:rPr>
          <w:rFonts w:hint="eastAsia" w:hAnsi="宋体"/>
          <w:sz w:val="24"/>
          <w:szCs w:val="24"/>
        </w:rPr>
        <w:t>标准再修改</w:t>
      </w:r>
      <w:r>
        <w:rPr>
          <w:rFonts w:hAnsi="宋体"/>
          <w:sz w:val="24"/>
          <w:szCs w:val="24"/>
        </w:rPr>
        <w:t>—</w:t>
      </w:r>
      <w:r>
        <w:rPr>
          <w:rFonts w:hint="eastAsia" w:hAnsi="宋体"/>
          <w:sz w:val="24"/>
          <w:szCs w:val="24"/>
        </w:rPr>
        <w:t>形成标准审定稿</w:t>
      </w:r>
      <w:r>
        <w:rPr>
          <w:rFonts w:hAnsi="宋体"/>
          <w:sz w:val="24"/>
          <w:szCs w:val="24"/>
        </w:rPr>
        <w:t>—</w:t>
      </w:r>
      <w:r>
        <w:rPr>
          <w:rFonts w:hint="eastAsia" w:hAnsi="宋体"/>
          <w:sz w:val="24"/>
          <w:szCs w:val="24"/>
        </w:rPr>
        <w:t>报湖南省市场监督局审批</w:t>
      </w:r>
      <w:r>
        <w:rPr>
          <w:rFonts w:hAnsi="宋体"/>
          <w:sz w:val="24"/>
          <w:szCs w:val="24"/>
        </w:rPr>
        <w:t>—</w:t>
      </w:r>
      <w:r>
        <w:rPr>
          <w:rFonts w:hint="eastAsia" w:hAnsi="宋体"/>
          <w:sz w:val="24"/>
          <w:szCs w:val="24"/>
        </w:rPr>
        <w:t>发布实施。</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0" w:name="_Hlk53387491"/>
      <w:r>
        <w:rPr>
          <w:rFonts w:hint="eastAsia" w:ascii="Times New Roman" w:hAnsi="Times New Roman" w:eastAsia="宋体" w:cs="Times New Roman"/>
          <w:b/>
          <w:bCs/>
          <w:sz w:val="30"/>
          <w:szCs w:val="30"/>
        </w:rPr>
        <w:t>四</w:t>
      </w:r>
      <w:r>
        <w:rPr>
          <w:rFonts w:ascii="Times New Roman" w:hAnsi="Times New Roman" w:eastAsia="宋体" w:cs="Times New Roman"/>
          <w:b/>
          <w:bCs/>
          <w:sz w:val="30"/>
          <w:szCs w:val="30"/>
        </w:rPr>
        <w:t>、标准的主要技术内容</w:t>
      </w:r>
    </w:p>
    <w:p>
      <w:pPr>
        <w:pStyle w:val="13"/>
        <w:spacing w:line="360" w:lineRule="auto"/>
        <w:ind w:firstLine="562"/>
        <w:rPr>
          <w:rFonts w:ascii="Times New Roman" w:hAnsi="Times New Roman" w:cs="Times New Roman"/>
          <w:b/>
          <w:bCs/>
          <w:sz w:val="28"/>
          <w:szCs w:val="28"/>
        </w:rPr>
      </w:pPr>
      <w:r>
        <w:rPr>
          <w:rFonts w:hint="eastAsia" w:ascii="Times New Roman" w:hAnsi="Times New Roman" w:cs="Times New Roman"/>
          <w:b/>
          <w:bCs/>
          <w:sz w:val="28"/>
          <w:szCs w:val="28"/>
        </w:rPr>
        <w:t>1.</w:t>
      </w:r>
      <w:r>
        <w:rPr>
          <w:rFonts w:ascii="Times New Roman" w:hAnsi="Times New Roman" w:cs="Times New Roman"/>
          <w:b/>
          <w:bCs/>
          <w:sz w:val="28"/>
          <w:szCs w:val="28"/>
        </w:rPr>
        <w:t>主要条款的说明</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本标准规定了</w:t>
      </w:r>
      <w:r>
        <w:rPr>
          <w:rFonts w:hint="eastAsia" w:ascii="Times New Roman" w:hAnsi="Times New Roman" w:cs="Times New Roman"/>
          <w:sz w:val="24"/>
          <w:szCs w:val="24"/>
        </w:rPr>
        <w:t>石菖蒲</w:t>
      </w:r>
      <w:r>
        <w:rPr>
          <w:rFonts w:ascii="Times New Roman" w:hAnsi="Times New Roman" w:cs="Times New Roman"/>
          <w:sz w:val="24"/>
          <w:szCs w:val="24"/>
        </w:rPr>
        <w:t>的采收时间及方法、初加工方法、包装、标识、运输、贮藏、</w:t>
      </w:r>
      <w:r>
        <w:rPr>
          <w:rFonts w:hint="eastAsia" w:ascii="Times New Roman" w:hAnsi="Times New Roman" w:cs="Times New Roman"/>
          <w:sz w:val="24"/>
          <w:szCs w:val="24"/>
        </w:rPr>
        <w:t>生产</w:t>
      </w:r>
      <w:r>
        <w:rPr>
          <w:rFonts w:ascii="Times New Roman" w:hAnsi="Times New Roman" w:cs="Times New Roman"/>
          <w:sz w:val="24"/>
          <w:szCs w:val="24"/>
        </w:rPr>
        <w:t>档案等的技术要求。本标准适用于湖南省</w:t>
      </w:r>
      <w:r>
        <w:rPr>
          <w:rFonts w:hint="eastAsia" w:ascii="Times New Roman" w:hAnsi="Times New Roman" w:cs="Times New Roman"/>
          <w:sz w:val="24"/>
          <w:szCs w:val="24"/>
        </w:rPr>
        <w:t>内石菖蒲</w:t>
      </w:r>
      <w:r>
        <w:rPr>
          <w:rFonts w:ascii="Times New Roman" w:hAnsi="Times New Roman" w:cs="Times New Roman"/>
          <w:sz w:val="24"/>
          <w:szCs w:val="24"/>
        </w:rPr>
        <w:t>的采收和</w:t>
      </w:r>
      <w:r>
        <w:rPr>
          <w:rFonts w:hint="eastAsia" w:ascii="Times New Roman" w:hAnsi="Times New Roman" w:cs="Times New Roman"/>
          <w:sz w:val="24"/>
          <w:szCs w:val="24"/>
        </w:rPr>
        <w:t>产地</w:t>
      </w:r>
      <w:r>
        <w:rPr>
          <w:rFonts w:ascii="Times New Roman" w:hAnsi="Times New Roman" w:cs="Times New Roman"/>
          <w:sz w:val="24"/>
          <w:szCs w:val="24"/>
        </w:rPr>
        <w:t>初加工过程。</w:t>
      </w:r>
    </w:p>
    <w:p>
      <w:pPr>
        <w:pStyle w:val="13"/>
        <w:spacing w:line="360" w:lineRule="auto"/>
        <w:ind w:firstLine="480"/>
        <w:rPr>
          <w:rFonts w:ascii="Times New Roman"/>
          <w:sz w:val="24"/>
          <w:szCs w:val="24"/>
        </w:rPr>
      </w:pPr>
      <w:r>
        <w:rPr>
          <w:rFonts w:ascii="Times New Roman"/>
          <w:sz w:val="24"/>
          <w:szCs w:val="24"/>
        </w:rPr>
        <w:t>本标准共有3个术语和定义：</w:t>
      </w:r>
      <w:r>
        <w:rPr>
          <w:rFonts w:hint="eastAsia" w:ascii="Times New Roman"/>
          <w:sz w:val="24"/>
          <w:szCs w:val="24"/>
        </w:rPr>
        <w:t>石菖蒲、产地初加工</w:t>
      </w:r>
      <w:r>
        <w:rPr>
          <w:rFonts w:ascii="Times New Roman"/>
          <w:sz w:val="24"/>
          <w:szCs w:val="24"/>
        </w:rPr>
        <w:t>。其中</w:t>
      </w:r>
      <w:r>
        <w:rPr>
          <w:rFonts w:hint="eastAsia" w:ascii="Times New Roman"/>
          <w:sz w:val="24"/>
          <w:szCs w:val="24"/>
        </w:rPr>
        <w:t>石菖蒲</w:t>
      </w:r>
      <w:r>
        <w:rPr>
          <w:rFonts w:ascii="Times New Roman"/>
          <w:sz w:val="24"/>
          <w:szCs w:val="24"/>
        </w:rPr>
        <w:t>是参考</w:t>
      </w:r>
      <w:r>
        <w:rPr>
          <w:rFonts w:hint="eastAsia" w:ascii="Times New Roman"/>
          <w:sz w:val="24"/>
          <w:szCs w:val="24"/>
        </w:rPr>
        <w:t>《中华人民共和国药典》（20</w:t>
      </w:r>
      <w:r>
        <w:rPr>
          <w:rFonts w:ascii="Times New Roman"/>
          <w:sz w:val="24"/>
          <w:szCs w:val="24"/>
        </w:rPr>
        <w:t>20</w:t>
      </w:r>
      <w:r>
        <w:rPr>
          <w:rFonts w:hint="eastAsia" w:ascii="Times New Roman"/>
          <w:sz w:val="24"/>
          <w:szCs w:val="24"/>
        </w:rPr>
        <w:t>版）</w:t>
      </w:r>
      <w:r>
        <w:rPr>
          <w:rFonts w:ascii="Times New Roman"/>
          <w:sz w:val="24"/>
          <w:szCs w:val="24"/>
        </w:rPr>
        <w:t>对</w:t>
      </w:r>
      <w:r>
        <w:rPr>
          <w:rFonts w:hint="eastAsia" w:ascii="Times New Roman"/>
          <w:sz w:val="24"/>
          <w:szCs w:val="24"/>
        </w:rPr>
        <w:t>石菖蒲</w:t>
      </w:r>
      <w:r>
        <w:rPr>
          <w:rFonts w:ascii="Times New Roman"/>
          <w:sz w:val="24"/>
          <w:szCs w:val="24"/>
        </w:rPr>
        <w:t>药材的定义。</w:t>
      </w:r>
      <w:r>
        <w:rPr>
          <w:rFonts w:hint="eastAsia" w:ascii="Times New Roman"/>
          <w:sz w:val="24"/>
          <w:szCs w:val="24"/>
        </w:rPr>
        <w:t>产地初加工</w:t>
      </w:r>
      <w:r>
        <w:rPr>
          <w:rFonts w:ascii="Times New Roman"/>
          <w:sz w:val="24"/>
          <w:szCs w:val="24"/>
        </w:rPr>
        <w:t>是参考</w:t>
      </w:r>
      <w:r>
        <w:rPr>
          <w:rFonts w:hint="eastAsia" w:ascii="Times New Roman"/>
          <w:sz w:val="24"/>
          <w:szCs w:val="24"/>
        </w:rPr>
        <w:t>SB/T 11183 中药材产地加工技术规范中的定义</w:t>
      </w:r>
      <w:r>
        <w:rPr>
          <w:rFonts w:ascii="Times New Roman"/>
          <w:sz w:val="24"/>
          <w:szCs w:val="24"/>
        </w:rPr>
        <w:t>。</w:t>
      </w:r>
    </w:p>
    <w:p>
      <w:pPr>
        <w:pStyle w:val="13"/>
        <w:spacing w:line="360" w:lineRule="auto"/>
        <w:ind w:firstLine="562"/>
        <w:rPr>
          <w:rFonts w:ascii="Times New Roman"/>
          <w:b/>
          <w:bCs/>
          <w:sz w:val="28"/>
          <w:szCs w:val="28"/>
        </w:rPr>
      </w:pPr>
      <w:r>
        <w:rPr>
          <w:rFonts w:hint="eastAsia" w:ascii="Times New Roman"/>
          <w:b/>
          <w:bCs/>
          <w:sz w:val="28"/>
          <w:szCs w:val="28"/>
        </w:rPr>
        <w:t>2.</w:t>
      </w:r>
      <w:r>
        <w:rPr>
          <w:rFonts w:ascii="Times New Roman"/>
          <w:b/>
          <w:bCs/>
          <w:sz w:val="28"/>
          <w:szCs w:val="28"/>
        </w:rPr>
        <w:t>技术要求</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“4.1”</w:t>
      </w:r>
      <w:r>
        <w:rPr>
          <w:rFonts w:ascii="Times New Roman" w:hAnsi="Times New Roman" w:cs="Times New Roman"/>
          <w:sz w:val="24"/>
          <w:szCs w:val="24"/>
        </w:rPr>
        <w:t>采收时间</w:t>
      </w:r>
      <w:r>
        <w:rPr>
          <w:rFonts w:hint="eastAsia" w:ascii="Times New Roman" w:hAnsi="Times New Roman" w:cs="Times New Roman"/>
          <w:sz w:val="24"/>
          <w:szCs w:val="24"/>
        </w:rPr>
        <w:t>：</w:t>
      </w:r>
      <w:r>
        <w:rPr>
          <w:rFonts w:ascii="Times New Roman" w:hAnsi="Times New Roman" w:cs="Times New Roman"/>
          <w:sz w:val="24"/>
          <w:szCs w:val="24"/>
        </w:rPr>
        <w:t>采收期以3~4年生者为宜</w:t>
      </w:r>
      <w:r>
        <w:rPr>
          <w:rFonts w:hint="eastAsia" w:ascii="Times New Roman" w:hAnsi="Times New Roman" w:cs="Times New Roman"/>
          <w:sz w:val="24"/>
          <w:szCs w:val="24"/>
        </w:rPr>
        <w:t>，</w:t>
      </w:r>
      <w:r>
        <w:rPr>
          <w:rFonts w:ascii="Times New Roman" w:hAnsi="Times New Roman" w:cs="Times New Roman"/>
          <w:sz w:val="24"/>
          <w:szCs w:val="24"/>
        </w:rPr>
        <w:t>采收季节多在秋冬二季采挖，以9~11月份采收为宜。采收时间的确定是综合基地采收时间、项目组试验结果与实地情况得出的结论。</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w:t>
      </w:r>
      <w:r>
        <w:rPr>
          <w:rFonts w:ascii="Times New Roman" w:hAnsi="Times New Roman" w:cs="Times New Roman"/>
          <w:sz w:val="24"/>
          <w:szCs w:val="24"/>
        </w:rPr>
        <w:t>4.2</w:t>
      </w:r>
      <w:r>
        <w:rPr>
          <w:rFonts w:hint="eastAsia" w:ascii="Times New Roman" w:hAnsi="Times New Roman" w:cs="Times New Roman"/>
          <w:sz w:val="24"/>
          <w:szCs w:val="24"/>
        </w:rPr>
        <w:t>”</w:t>
      </w:r>
      <w:r>
        <w:rPr>
          <w:rFonts w:ascii="Times New Roman" w:hAnsi="Times New Roman" w:cs="Times New Roman"/>
          <w:sz w:val="24"/>
          <w:szCs w:val="24"/>
        </w:rPr>
        <w:t>采收方法</w:t>
      </w:r>
      <w:r>
        <w:rPr>
          <w:rFonts w:hint="eastAsia" w:ascii="Times New Roman" w:hAnsi="Times New Roman" w:cs="Times New Roman"/>
          <w:sz w:val="24"/>
          <w:szCs w:val="24"/>
        </w:rPr>
        <w:t>：采用人工或机械采挖，在采挖地用水冲洗，去污，去除表面泥沙和杂质。这是根据湖南石菖蒲种植基地生产条件进行确定。</w:t>
      </w:r>
    </w:p>
    <w:p>
      <w:pPr>
        <w:pStyle w:val="13"/>
        <w:spacing w:line="360" w:lineRule="auto"/>
        <w:ind w:firstLine="48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4.3</w:t>
      </w:r>
      <w:r>
        <w:rPr>
          <w:rFonts w:hint="eastAsia" w:ascii="Times New Roman" w:hAnsi="Times New Roman" w:cs="Times New Roman"/>
          <w:sz w:val="24"/>
          <w:szCs w:val="24"/>
        </w:rPr>
        <w:t>”</w:t>
      </w:r>
      <w:r>
        <w:rPr>
          <w:rFonts w:ascii="Times New Roman" w:hAnsi="Times New Roman" w:cs="Times New Roman"/>
          <w:sz w:val="24"/>
          <w:szCs w:val="24"/>
        </w:rPr>
        <w:t>去茎叶、清洗</w:t>
      </w:r>
      <w:r>
        <w:rPr>
          <w:rFonts w:hint="eastAsia" w:ascii="Times New Roman" w:hAnsi="Times New Roman" w:cs="Times New Roman"/>
          <w:sz w:val="24"/>
          <w:szCs w:val="24"/>
        </w:rPr>
        <w:t>：</w:t>
      </w:r>
      <w:r>
        <w:rPr>
          <w:rFonts w:ascii="Times New Roman" w:hAnsi="Times New Roman" w:cs="Times New Roman"/>
          <w:sz w:val="24"/>
          <w:szCs w:val="24"/>
        </w:rPr>
        <w:t>剪除茎叶，去除杂质</w:t>
      </w:r>
      <w:r>
        <w:rPr>
          <w:rFonts w:hint="eastAsia" w:ascii="Times New Roman" w:hAnsi="Times New Roman" w:cs="Times New Roman"/>
          <w:sz w:val="24"/>
          <w:szCs w:val="24"/>
        </w:rPr>
        <w:t>；</w:t>
      </w:r>
      <w:r>
        <w:rPr>
          <w:rFonts w:ascii="Times New Roman" w:hAnsi="Times New Roman" w:cs="Times New Roman"/>
          <w:sz w:val="24"/>
          <w:szCs w:val="24"/>
        </w:rPr>
        <w:t>将去叶后的石菖蒲置入滚筒清洗机中，进行清洗至无可见泥沙，将滚筒洗后的石菖蒲倒入清水池，浸泡约5分钟，将石菖蒲捞出，放入烘盘，再使用高压水枪逐盘喷洗，沥干。</w:t>
      </w:r>
    </w:p>
    <w:p>
      <w:pPr>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4</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 xml:space="preserve">4.4 </w:t>
      </w:r>
      <w:r>
        <w:rPr>
          <w:rFonts w:hint="eastAsia" w:ascii="Times New Roman" w:hAnsi="Times New Roman" w:eastAsia="宋体" w:cs="Times New Roman"/>
          <w:kern w:val="0"/>
          <w:sz w:val="24"/>
          <w:szCs w:val="24"/>
        </w:rPr>
        <w:t>干燥”：清洗沥干后石菖蒲必须当天进入烘房实施烘干，不得过夜。烘房第一次干燥温度为</w:t>
      </w:r>
      <w:r>
        <w:rPr>
          <w:rFonts w:ascii="Times New Roman" w:hAnsi="Times New Roman" w:eastAsia="宋体" w:cs="Times New Roman"/>
          <w:kern w:val="0"/>
          <w:sz w:val="24"/>
          <w:szCs w:val="24"/>
        </w:rPr>
        <w:t>65 ℃~70 ℃，干燥时间约16小时；将石菖蒲转移至滚筒脱须机，趁热进行滚动去须根；再将石菖蒲装入烘房进行第二次干燥，控制干燥温度60 ℃~65 ℃，时间约8小时；再次进入滚筒机去须根，二次脱须后石菖蒲第三次进烘房干燥，控制干燥温度55-60℃，干燥时间约6小时；干燥后第三次实施滚筒去须根。该方法是根据《中药材生产质量管理规范（试行）》（国家药品监督管理局令第32号）及SB/T 11183 中药材产地加工技术规范的相关规定，再根据湖南省</w:t>
      </w:r>
      <w:r>
        <w:rPr>
          <w:rFonts w:hint="eastAsia" w:ascii="Times New Roman" w:hAnsi="Times New Roman" w:eastAsia="宋体" w:cs="Times New Roman"/>
          <w:sz w:val="24"/>
          <w:szCs w:val="24"/>
        </w:rPr>
        <w:t>澧县</w:t>
      </w:r>
      <w:r>
        <w:rPr>
          <w:rFonts w:ascii="Times New Roman" w:hAnsi="Times New Roman" w:eastAsia="宋体" w:cs="Times New Roman"/>
          <w:sz w:val="24"/>
          <w:szCs w:val="24"/>
        </w:rPr>
        <w:t>及其周边地区</w:t>
      </w:r>
      <w:r>
        <w:rPr>
          <w:rFonts w:ascii="Times New Roman" w:hAnsi="Times New Roman" w:eastAsia="宋体" w:cs="Times New Roman"/>
          <w:kern w:val="0"/>
          <w:sz w:val="24"/>
          <w:szCs w:val="24"/>
        </w:rPr>
        <w:t>大小企业及个人的生产实践，充分听取专家组意见，同时结合本课题组实验研究综合确定。此外，干燥方式、温度与时间的确定，是基于项目组对</w:t>
      </w:r>
      <w:r>
        <w:rPr>
          <w:rFonts w:hint="eastAsia" w:ascii="Times New Roman" w:hAnsi="Times New Roman" w:eastAsia="宋体" w:cs="Times New Roman"/>
          <w:kern w:val="0"/>
          <w:sz w:val="24"/>
          <w:szCs w:val="24"/>
        </w:rPr>
        <w:t>石菖蒲</w:t>
      </w:r>
      <w:r>
        <w:rPr>
          <w:rFonts w:ascii="Times New Roman" w:hAnsi="Times New Roman" w:eastAsia="宋体" w:cs="Times New Roman"/>
          <w:kern w:val="0"/>
          <w:sz w:val="24"/>
          <w:szCs w:val="24"/>
        </w:rPr>
        <w:t>初加工工艺参数的实验考察，并结合基地生产加工实践而定。</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5</w:t>
      </w:r>
      <w:r>
        <w:rPr>
          <w:rFonts w:ascii="Times New Roman" w:hAnsi="Times New Roman" w:cs="Times New Roman"/>
          <w:sz w:val="24"/>
          <w:szCs w:val="24"/>
        </w:rPr>
        <w:t>）包装、仓储、</w:t>
      </w:r>
      <w:r>
        <w:rPr>
          <w:rFonts w:hint="eastAsia" w:ascii="Times New Roman" w:hAnsi="Times New Roman" w:cs="Times New Roman"/>
          <w:sz w:val="24"/>
          <w:szCs w:val="24"/>
        </w:rPr>
        <w:t>标识</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依据《中药材生产质量管理规范（试行）》（国家药品监督管理局令第32号）、GB/T 191《包装储运图示标志》、SB/T 11082《</w:t>
      </w:r>
      <w:bookmarkStart w:id="1" w:name="_Hlk60995549"/>
      <w:r>
        <w:rPr>
          <w:rFonts w:ascii="Times New Roman" w:hAnsi="Times New Roman" w:cs="Times New Roman"/>
          <w:sz w:val="24"/>
          <w:szCs w:val="24"/>
        </w:rPr>
        <w:t>中药材包装技术规范</w:t>
      </w:r>
      <w:bookmarkEnd w:id="1"/>
      <w:r>
        <w:rPr>
          <w:rFonts w:ascii="Times New Roman" w:hAnsi="Times New Roman" w:cs="Times New Roman"/>
          <w:sz w:val="24"/>
          <w:szCs w:val="24"/>
        </w:rPr>
        <w:t>》、SB/T 11094《中药材仓储管理规范》、SB/T 11095《中药材仓库技术规范》、SB/T 11183《中药材产地加工技术规范》的相关规定而定。</w:t>
      </w:r>
    </w:p>
    <w:p>
      <w:pPr>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（5）档案管理</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“资料记录”与“资料管理”参考DB</w:t>
      </w:r>
      <w:r>
        <w:rPr>
          <w:rFonts w:hint="eastAsia" w:ascii="Times New Roman" w:hAnsi="Times New Roman" w:cs="Times New Roman"/>
          <w:sz w:val="24"/>
          <w:szCs w:val="24"/>
        </w:rPr>
        <w:t>43</w:t>
      </w:r>
      <w:r>
        <w:rPr>
          <w:rFonts w:ascii="Times New Roman" w:hAnsi="Times New Roman" w:cs="Times New Roman"/>
          <w:sz w:val="24"/>
          <w:szCs w:val="24"/>
        </w:rPr>
        <w:t xml:space="preserve">/T </w:t>
      </w:r>
      <w:r>
        <w:rPr>
          <w:rFonts w:hint="eastAsia" w:ascii="Times New Roman" w:hAnsi="Times New Roman" w:cs="Times New Roman"/>
          <w:sz w:val="24"/>
          <w:szCs w:val="24"/>
        </w:rPr>
        <w:t>2038</w:t>
      </w:r>
      <w:r>
        <w:rPr>
          <w:rFonts w:ascii="Times New Roman" w:hAnsi="Times New Roman" w:cs="Times New Roman"/>
          <w:sz w:val="24"/>
          <w:szCs w:val="24"/>
        </w:rPr>
        <w:t>-</w:t>
      </w:r>
      <w:r>
        <w:rPr>
          <w:rFonts w:hint="eastAsia" w:ascii="Times New Roman" w:hAnsi="Times New Roman" w:cs="Times New Roman"/>
          <w:sz w:val="24"/>
          <w:szCs w:val="24"/>
        </w:rPr>
        <w:t>2021</w:t>
      </w:r>
      <w:r>
        <w:rPr>
          <w:rFonts w:ascii="Times New Roman" w:hAnsi="Times New Roman" w:cs="Times New Roman"/>
          <w:sz w:val="24"/>
          <w:szCs w:val="24"/>
        </w:rPr>
        <w:t>《</w:t>
      </w:r>
      <w:r>
        <w:rPr>
          <w:rFonts w:hint="eastAsia" w:ascii="Times New Roman" w:hAnsi="Times New Roman" w:cs="Times New Roman"/>
          <w:sz w:val="24"/>
          <w:szCs w:val="24"/>
        </w:rPr>
        <w:t>黄精</w:t>
      </w:r>
      <w:r>
        <w:rPr>
          <w:rFonts w:ascii="Times New Roman" w:hAnsi="Times New Roman" w:cs="Times New Roman"/>
          <w:sz w:val="24"/>
          <w:szCs w:val="24"/>
        </w:rPr>
        <w:t>采收与产地初加工技术规范》、DB43/T 215.3-2019《地理标志保护产品 龙牙百合 第3部分：采收与加工技术规范》、《中药材生产质量管理规范（试行）》（国家药品监督管理局令第32号）中的相关内容，听取专家组意见并充分实地调研而定。</w:t>
      </w:r>
      <w:bookmarkEnd w:id="0"/>
    </w:p>
    <w:p>
      <w:pPr>
        <w:spacing w:before="156" w:beforeLines="50" w:after="156" w:afterLines="50" w:line="360" w:lineRule="auto"/>
        <w:ind w:firstLine="562" w:firstLineChars="200"/>
        <w:rPr>
          <w:rFonts w:ascii="Times New Roman" w:hAnsi="Times New Roman" w:eastAsia="宋体" w:cs="Times New Roman"/>
          <w:b/>
          <w:bCs/>
          <w:sz w:val="28"/>
          <w:szCs w:val="28"/>
        </w:rPr>
      </w:pPr>
      <w:bookmarkStart w:id="2" w:name="_Hlk53387821"/>
      <w:r>
        <w:rPr>
          <w:rFonts w:hint="eastAsia" w:ascii="Times New Roman" w:hAnsi="Times New Roman" w:eastAsia="宋体" w:cs="Times New Roman"/>
          <w:b/>
          <w:bCs/>
          <w:sz w:val="28"/>
          <w:szCs w:val="28"/>
        </w:rPr>
        <w:t>3.主要实验的分析</w:t>
      </w:r>
      <w:bookmarkEnd w:id="2"/>
    </w:p>
    <w:p>
      <w:pPr>
        <w:spacing w:before="156" w:beforeLines="50" w:after="156" w:afterLines="50"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采收时间的确定</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为制定石菖蒲的适宜采收期，本项目组在澧县基地选取三个基地（每个基地约</w:t>
      </w:r>
      <w:r>
        <w:rPr>
          <w:rFonts w:ascii="Times New Roman" w:hAnsi="Times New Roman" w:eastAsia="宋体" w:cs="Times New Roman"/>
          <w:sz w:val="24"/>
          <w:szCs w:val="24"/>
        </w:rPr>
        <w:t>1亩），分别于</w:t>
      </w:r>
      <w:r>
        <w:rPr>
          <w:rFonts w:hint="eastAsia" w:ascii="Times New Roman" w:hAnsi="Times New Roman" w:eastAsia="宋体" w:cs="Times New Roman"/>
          <w:sz w:val="24"/>
          <w:szCs w:val="24"/>
        </w:rPr>
        <w:t>每月</w:t>
      </w:r>
      <w:r>
        <w:rPr>
          <w:rFonts w:ascii="Times New Roman" w:hAnsi="Times New Roman" w:eastAsia="宋体" w:cs="Times New Roman"/>
          <w:sz w:val="24"/>
          <w:szCs w:val="24"/>
        </w:rPr>
        <w:t>在此三</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中按照五点采样法（每</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选取5个点，每点采集10株，即每</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每次取样50株，三</w:t>
      </w:r>
      <w:r>
        <w:rPr>
          <w:rFonts w:hint="eastAsia" w:ascii="Times New Roman" w:hAnsi="Times New Roman" w:eastAsia="宋体" w:cs="Times New Roman"/>
          <w:sz w:val="24"/>
          <w:szCs w:val="24"/>
        </w:rPr>
        <w:t>个基地</w:t>
      </w:r>
      <w:r>
        <w:rPr>
          <w:rFonts w:ascii="Times New Roman" w:hAnsi="Times New Roman" w:eastAsia="宋体" w:cs="Times New Roman"/>
          <w:sz w:val="24"/>
          <w:szCs w:val="24"/>
        </w:rPr>
        <w:t>共计150株）进行采样，相关结果记录如下：</w:t>
      </w:r>
    </w:p>
    <w:p>
      <w:pPr>
        <w:spacing w:line="360" w:lineRule="auto"/>
        <w:ind w:firstLine="420" w:firstLineChars="200"/>
        <w:jc w:val="center"/>
        <w:rPr>
          <w:rFonts w:ascii="黑体" w:hAnsi="黑体" w:eastAsia="黑体" w:cs="Times New Roman"/>
        </w:rPr>
      </w:pPr>
      <w:r>
        <w:rPr>
          <w:rFonts w:hint="eastAsia" w:ascii="黑体" w:hAnsi="黑体" w:eastAsia="黑体" w:cs="Times New Roman"/>
        </w:rPr>
        <w:t>表</w:t>
      </w:r>
      <w:r>
        <w:rPr>
          <w:rFonts w:ascii="Times New Roman" w:hAnsi="Times New Roman" w:eastAsia="黑体" w:cs="Times New Roman"/>
        </w:rPr>
        <w:t>2</w:t>
      </w:r>
      <w:r>
        <w:rPr>
          <w:rFonts w:ascii="黑体" w:hAnsi="黑体" w:eastAsia="黑体" w:cs="Times New Roman"/>
        </w:rPr>
        <w:t xml:space="preserve"> </w:t>
      </w:r>
      <w:r>
        <w:rPr>
          <w:rFonts w:hint="eastAsia" w:ascii="黑体" w:hAnsi="黑体" w:eastAsia="黑体" w:cs="Times New Roman"/>
        </w:rPr>
        <w:t>不同生长期内石菖蒲生物总量、精油、浸出物含量变化情况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28"/>
        <w:gridCol w:w="1276"/>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left w:val="nil"/>
              <w:bottom w:val="single" w:color="auto" w:sz="4" w:space="0"/>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日期</w:t>
            </w:r>
          </w:p>
        </w:tc>
        <w:tc>
          <w:tcPr>
            <w:tcW w:w="1128" w:type="dxa"/>
            <w:tcBorders>
              <w:left w:val="nil"/>
              <w:bottom w:val="single" w:color="auto" w:sz="4" w:space="0"/>
              <w:right w:val="nil"/>
            </w:tcBorders>
            <w:vAlign w:val="center"/>
          </w:tcPr>
          <w:p>
            <w:pPr>
              <w:pStyle w:val="17"/>
              <w:spacing w:line="360" w:lineRule="auto"/>
              <w:ind w:left="31" w:right="36"/>
              <w:rPr>
                <w:rFonts w:ascii="Times New Roman" w:hAnsi="Times New Roman" w:cs="Times New Roman"/>
                <w:sz w:val="18"/>
                <w:szCs w:val="18"/>
              </w:rPr>
            </w:pPr>
            <w:r>
              <w:rPr>
                <w:rFonts w:hint="eastAsia" w:ascii="Times New Roman" w:hAnsi="Times New Roman" w:cs="Times New Roman"/>
                <w:spacing w:val="2"/>
                <w:w w:val="103"/>
                <w:sz w:val="18"/>
                <w:szCs w:val="18"/>
                <w:lang w:eastAsia="zh-CN"/>
              </w:rPr>
              <w:t>精油得率</w:t>
            </w:r>
          </w:p>
        </w:tc>
        <w:tc>
          <w:tcPr>
            <w:tcW w:w="1276" w:type="dxa"/>
            <w:tcBorders>
              <w:left w:val="nil"/>
              <w:bottom w:val="single" w:color="auto" w:sz="4" w:space="0"/>
              <w:right w:val="nil"/>
            </w:tcBorders>
          </w:tcPr>
          <w:p>
            <w:pPr>
              <w:pStyle w:val="17"/>
              <w:spacing w:line="360" w:lineRule="auto"/>
              <w:ind w:left="31" w:right="36"/>
              <w:rPr>
                <w:rFonts w:ascii="Times New Roman" w:hAnsi="Times New Roman" w:cs="Times New Roman"/>
                <w:spacing w:val="2"/>
                <w:w w:val="103"/>
                <w:sz w:val="18"/>
                <w:szCs w:val="18"/>
                <w:lang w:eastAsia="zh-CN"/>
              </w:rPr>
            </w:pPr>
            <w:r>
              <w:rPr>
                <w:rFonts w:hint="eastAsia" w:ascii="Times New Roman" w:hAnsi="Times New Roman" w:cs="Times New Roman"/>
                <w:spacing w:val="2"/>
                <w:w w:val="103"/>
                <w:sz w:val="18"/>
                <w:szCs w:val="18"/>
                <w:lang w:eastAsia="zh-CN"/>
              </w:rPr>
              <w:t>折干率</w:t>
            </w:r>
          </w:p>
        </w:tc>
        <w:tc>
          <w:tcPr>
            <w:tcW w:w="1276" w:type="dxa"/>
            <w:tcBorders>
              <w:left w:val="nil"/>
              <w:bottom w:val="single" w:color="auto" w:sz="4" w:space="0"/>
              <w:right w:val="nil"/>
            </w:tcBorders>
          </w:tcPr>
          <w:p>
            <w:pPr>
              <w:pStyle w:val="17"/>
              <w:spacing w:line="360" w:lineRule="auto"/>
              <w:ind w:left="31" w:right="36"/>
              <w:rPr>
                <w:rFonts w:ascii="Times New Roman" w:hAnsi="Times New Roman" w:cs="Times New Roman"/>
                <w:spacing w:val="2"/>
                <w:w w:val="103"/>
                <w:sz w:val="18"/>
                <w:szCs w:val="18"/>
                <w:lang w:eastAsia="zh-CN"/>
              </w:rPr>
            </w:pPr>
            <w:r>
              <w:rPr>
                <w:rFonts w:hint="eastAsia" w:ascii="Times New Roman" w:hAnsi="Times New Roman" w:cs="Times New Roman"/>
                <w:spacing w:val="2"/>
                <w:w w:val="103"/>
                <w:sz w:val="18"/>
                <w:szCs w:val="18"/>
                <w:lang w:eastAsia="zh-CN"/>
              </w:rPr>
              <w:t>水分</w:t>
            </w:r>
          </w:p>
        </w:tc>
        <w:tc>
          <w:tcPr>
            <w:tcW w:w="1276" w:type="dxa"/>
            <w:tcBorders>
              <w:left w:val="nil"/>
              <w:bottom w:val="single" w:color="auto" w:sz="4" w:space="0"/>
              <w:right w:val="nil"/>
            </w:tcBorders>
            <w:vAlign w:val="center"/>
          </w:tcPr>
          <w:p>
            <w:pPr>
              <w:pStyle w:val="17"/>
              <w:spacing w:line="360" w:lineRule="auto"/>
              <w:ind w:left="31" w:right="36"/>
              <w:rPr>
                <w:rFonts w:ascii="Times New Roman" w:hAnsi="Times New Roman" w:cs="Times New Roman"/>
                <w:sz w:val="18"/>
                <w:szCs w:val="18"/>
              </w:rPr>
            </w:pPr>
            <w:r>
              <w:rPr>
                <w:rFonts w:hint="eastAsia" w:ascii="Times New Roman" w:hAnsi="Times New Roman" w:cs="Times New Roman"/>
                <w:spacing w:val="2"/>
                <w:w w:val="103"/>
                <w:sz w:val="18"/>
                <w:szCs w:val="18"/>
                <w:lang w:eastAsia="zh-CN"/>
              </w:rPr>
              <w:t>浸出物含量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left w:val="nil"/>
              <w:bottom w:val="nil"/>
              <w:right w:val="nil"/>
            </w:tcBorders>
            <w:vAlign w:val="center"/>
          </w:tcPr>
          <w:p>
            <w:pPr>
              <w:spacing w:line="360" w:lineRule="auto"/>
              <w:jc w:val="center"/>
              <w:rPr>
                <w:rFonts w:ascii="Times New Roman" w:hAnsi="Times New Roman" w:eastAsia="宋体" w:cs="Times New Roman"/>
                <w:sz w:val="18"/>
                <w:szCs w:val="18"/>
              </w:rPr>
            </w:pPr>
            <w:bookmarkStart w:id="3" w:name="_Hlk47598821"/>
            <w:r>
              <w:rPr>
                <w:rFonts w:hint="eastAsia" w:ascii="Times New Roman" w:hAnsi="Times New Roman" w:eastAsia="宋体" w:cs="Times New Roman"/>
                <w:sz w:val="18"/>
                <w:szCs w:val="18"/>
              </w:rPr>
              <w:t>2.10</w:t>
            </w:r>
          </w:p>
        </w:tc>
        <w:tc>
          <w:tcPr>
            <w:tcW w:w="1128" w:type="dxa"/>
            <w:tcBorders>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1.60%</w:t>
            </w:r>
          </w:p>
        </w:tc>
        <w:tc>
          <w:tcPr>
            <w:tcW w:w="1276" w:type="dxa"/>
            <w:tcBorders>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0.27</w:t>
            </w:r>
          </w:p>
        </w:tc>
        <w:tc>
          <w:tcPr>
            <w:tcW w:w="1276" w:type="dxa"/>
            <w:tcBorders>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11.48%</w:t>
            </w:r>
          </w:p>
        </w:tc>
        <w:tc>
          <w:tcPr>
            <w:tcW w:w="1276" w:type="dxa"/>
            <w:tcBorders>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1.86%</w:t>
            </w:r>
          </w:p>
        </w:tc>
        <w:tc>
          <w:tcPr>
            <w:tcW w:w="1276" w:type="dxa"/>
            <w:tcBorders>
              <w:top w:val="nil"/>
              <w:left w:val="nil"/>
              <w:bottom w:val="nil"/>
              <w:right w:val="nil"/>
            </w:tcBorders>
            <w:vAlign w:val="center"/>
          </w:tcPr>
          <w:p>
            <w:pPr>
              <w:widowControl/>
              <w:spacing w:line="360" w:lineRule="auto"/>
              <w:jc w:val="center"/>
              <w:rPr>
                <w:rFonts w:ascii="Times New Roman" w:hAnsi="Times New Roman" w:cs="Times New Roman"/>
                <w:sz w:val="18"/>
                <w:szCs w:val="18"/>
              </w:rPr>
            </w:pPr>
            <w:r>
              <w:rPr>
                <w:rFonts w:ascii="Times New Roman" w:hAnsi="Times New Roman" w:cs="Times New Roman"/>
                <w:color w:val="000000"/>
                <w:sz w:val="18"/>
                <w:szCs w:val="18"/>
                <w:lang w:bidi="ar"/>
              </w:rPr>
              <w:t>0.3</w:t>
            </w:r>
            <w:r>
              <w:rPr>
                <w:rFonts w:hint="eastAsia" w:ascii="Times New Roman" w:hAnsi="Times New Roman" w:cs="Times New Roman"/>
                <w:color w:val="000000"/>
                <w:sz w:val="18"/>
                <w:szCs w:val="18"/>
                <w:lang w:bidi="ar"/>
              </w:rPr>
              <w:t>0</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9.76%</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1.73%</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0.29</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9.75%</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1.60%</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0.29</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11.47%</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6.10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1.73%</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0.31</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10.53%</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7.10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1.86%</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0.33</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9.10%</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8.10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1.86%</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0.35</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10.66%</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2.13%</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0.35</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9.59%</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10.10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2.40%</w:t>
            </w:r>
          </w:p>
        </w:tc>
        <w:tc>
          <w:tcPr>
            <w:tcW w:w="1276" w:type="dxa"/>
            <w:tcBorders>
              <w:top w:val="nil"/>
              <w:left w:val="nil"/>
              <w:bottom w:val="nil"/>
              <w:right w:val="nil"/>
            </w:tcBorders>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cs="Times New Roman"/>
                <w:color w:val="000000"/>
                <w:sz w:val="18"/>
                <w:szCs w:val="18"/>
                <w:lang w:bidi="ar"/>
              </w:rPr>
              <w:t>0.34</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10.70%</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11.10</w:t>
            </w:r>
          </w:p>
        </w:tc>
        <w:tc>
          <w:tcPr>
            <w:tcW w:w="1128"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2.44%</w:t>
            </w:r>
          </w:p>
        </w:tc>
        <w:tc>
          <w:tcPr>
            <w:tcW w:w="1276" w:type="dxa"/>
            <w:tcBorders>
              <w:top w:val="nil"/>
              <w:left w:val="nil"/>
              <w:bottom w:val="nil"/>
              <w:right w:val="nil"/>
            </w:tcBorders>
            <w:vAlign w:val="center"/>
          </w:tcPr>
          <w:p>
            <w:pPr>
              <w:widowControl/>
              <w:spacing w:line="360" w:lineRule="auto"/>
              <w:jc w:val="center"/>
              <w:rPr>
                <w:rFonts w:ascii="Times New Roman" w:hAnsi="Times New Roman" w:cs="Times New Roman"/>
                <w:sz w:val="18"/>
                <w:szCs w:val="18"/>
              </w:rPr>
            </w:pPr>
            <w:r>
              <w:rPr>
                <w:rFonts w:ascii="Times New Roman" w:hAnsi="Times New Roman" w:cs="Times New Roman"/>
                <w:color w:val="000000"/>
                <w:sz w:val="18"/>
                <w:szCs w:val="18"/>
                <w:lang w:bidi="ar"/>
              </w:rPr>
              <w:t>0.</w:t>
            </w:r>
            <w:r>
              <w:rPr>
                <w:rFonts w:hint="eastAsia" w:ascii="Times New Roman" w:hAnsi="Times New Roman" w:cs="Times New Roman"/>
                <w:color w:val="000000"/>
                <w:sz w:val="18"/>
                <w:szCs w:val="18"/>
                <w:lang w:bidi="ar"/>
              </w:rPr>
              <w:t>35</w:t>
            </w:r>
          </w:p>
        </w:tc>
        <w:tc>
          <w:tcPr>
            <w:tcW w:w="1276" w:type="dxa"/>
            <w:tcBorders>
              <w:top w:val="nil"/>
              <w:left w:val="nil"/>
              <w:bottom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10.13%</w:t>
            </w:r>
          </w:p>
        </w:tc>
        <w:tc>
          <w:tcPr>
            <w:tcW w:w="1276" w:type="dxa"/>
            <w:tcBorders>
              <w:top w:val="nil"/>
              <w:left w:val="nil"/>
              <w:bottom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nil"/>
              <w:left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12.10</w:t>
            </w:r>
          </w:p>
        </w:tc>
        <w:tc>
          <w:tcPr>
            <w:tcW w:w="1128" w:type="dxa"/>
            <w:tcBorders>
              <w:top w:val="nil"/>
              <w:left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2.00%</w:t>
            </w:r>
          </w:p>
        </w:tc>
        <w:tc>
          <w:tcPr>
            <w:tcW w:w="1276" w:type="dxa"/>
            <w:tcBorders>
              <w:top w:val="nil"/>
              <w:left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0.33</w:t>
            </w:r>
          </w:p>
        </w:tc>
        <w:tc>
          <w:tcPr>
            <w:tcW w:w="1276" w:type="dxa"/>
            <w:tcBorders>
              <w:top w:val="nil"/>
              <w:left w:val="nil"/>
              <w:right w:val="nil"/>
            </w:tcBorders>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11.00%</w:t>
            </w:r>
          </w:p>
        </w:tc>
        <w:tc>
          <w:tcPr>
            <w:tcW w:w="1276" w:type="dxa"/>
            <w:tcBorders>
              <w:top w:val="nil"/>
              <w:left w:val="nil"/>
              <w:right w:val="nil"/>
            </w:tcBorders>
            <w:vAlign w:val="center"/>
          </w:tcPr>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17.63%</w:t>
            </w:r>
          </w:p>
        </w:tc>
      </w:tr>
      <w:bookmarkEnd w:id="3"/>
    </w:tbl>
    <w:p>
      <w:pPr>
        <w:spacing w:before="312" w:beforeLines="100"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项目组以全年为时间点，通过对石菖蒲生物总量的评价，结果表明（如表</w:t>
      </w:r>
      <w:r>
        <w:rPr>
          <w:rFonts w:ascii="Times New Roman" w:hAnsi="Times New Roman" w:eastAsia="宋体" w:cs="Times New Roman"/>
          <w:sz w:val="24"/>
          <w:szCs w:val="24"/>
        </w:rPr>
        <w:t>2所示</w:t>
      </w:r>
      <w:r>
        <w:rPr>
          <w:rFonts w:hint="eastAsia" w:ascii="Times New Roman" w:hAnsi="Times New Roman" w:eastAsia="宋体" w:cs="Times New Roman"/>
          <w:sz w:val="24"/>
          <w:szCs w:val="24"/>
        </w:rPr>
        <w:t>）</w:t>
      </w:r>
      <w:r>
        <w:rPr>
          <w:rFonts w:ascii="Times New Roman" w:hAnsi="Times New Roman" w:eastAsia="宋体" w:cs="Times New Roman"/>
          <w:sz w:val="24"/>
          <w:szCs w:val="24"/>
        </w:rPr>
        <w:t>，</w:t>
      </w:r>
      <w:r>
        <w:rPr>
          <w:rFonts w:hint="eastAsia" w:ascii="Times New Roman" w:hAnsi="Times New Roman" w:eastAsia="宋体" w:cs="Times New Roman"/>
          <w:sz w:val="24"/>
          <w:szCs w:val="24"/>
        </w:rPr>
        <w:t>石菖蒲全年间精油的得率均符合药典标准（</w:t>
      </w:r>
      <w:r>
        <w:rPr>
          <w:rFonts w:hint="eastAsia" w:ascii="宋体" w:hAnsi="宋体" w:eastAsia="宋体" w:cs="Times New Roman"/>
          <w:sz w:val="24"/>
          <w:szCs w:val="24"/>
        </w:rPr>
        <w:t>≥</w:t>
      </w:r>
      <w:r>
        <w:rPr>
          <w:rFonts w:hint="eastAsia" w:ascii="Times New Roman" w:hAnsi="Times New Roman" w:eastAsia="宋体" w:cs="Times New Roman"/>
          <w:sz w:val="24"/>
          <w:szCs w:val="24"/>
        </w:rPr>
        <w:t>1%），其精油得率随着生长周期的变化而变化，在秋冬季（9-12月），其含量高于2%，在十一月达到峰值，为2.44%；而在春夏季，精油得率均</w:t>
      </w:r>
      <w:r>
        <w:rPr>
          <w:rFonts w:hint="eastAsia" w:ascii="宋体" w:hAnsi="宋体" w:eastAsia="宋体" w:cs="Times New Roman"/>
          <w:sz w:val="24"/>
          <w:szCs w:val="24"/>
        </w:rPr>
        <w:t>&lt;</w:t>
      </w:r>
      <w:r>
        <w:rPr>
          <w:rFonts w:hint="eastAsia" w:ascii="Times New Roman" w:hAnsi="Times New Roman" w:eastAsia="宋体" w:cs="Times New Roman"/>
          <w:sz w:val="24"/>
          <w:szCs w:val="24"/>
        </w:rPr>
        <w:t>2%，尤其在其开花时节，含量较低，仅为最高值的65.57%。其浸出物含量在全年间波动，无明显变化趋势，大部分符合药典标准（</w:t>
      </w:r>
      <w:r>
        <w:rPr>
          <w:rFonts w:hint="eastAsia" w:ascii="宋体" w:hAnsi="宋体" w:eastAsia="宋体" w:cs="Times New Roman"/>
          <w:sz w:val="24"/>
          <w:szCs w:val="24"/>
        </w:rPr>
        <w:t>≥</w:t>
      </w:r>
      <w:r>
        <w:rPr>
          <w:rFonts w:hint="eastAsia" w:ascii="Times New Roman" w:hAnsi="Times New Roman" w:eastAsia="宋体" w:cs="Times New Roman"/>
          <w:sz w:val="24"/>
          <w:szCs w:val="24"/>
        </w:rPr>
        <w:t>12%）。</w:t>
      </w:r>
      <w:r>
        <w:rPr>
          <w:rFonts w:ascii="Times New Roman" w:hAnsi="Times New Roman" w:eastAsia="宋体" w:cs="Times New Roman"/>
          <w:sz w:val="24"/>
          <w:szCs w:val="24"/>
        </w:rPr>
        <w:t>结合实际生产，综合</w:t>
      </w:r>
      <w:r>
        <w:rPr>
          <w:rFonts w:hint="eastAsia" w:ascii="Times New Roman" w:hAnsi="Times New Roman" w:eastAsia="宋体" w:cs="Times New Roman"/>
          <w:sz w:val="24"/>
          <w:szCs w:val="24"/>
        </w:rPr>
        <w:t>考虑确定石菖蒲最适采收期在10-11月之间。</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项目组采用水蒸气蒸馏法与醇溶性浸出物测定法结合HS-SPME-GC-MS分析石菖蒲不同采收期（3月-12月）</w:t>
      </w:r>
      <w:r>
        <w:rPr>
          <w:rFonts w:hint="eastAsia" w:ascii="Times New Roman" w:hAnsi="Times New Roman" w:eastAsia="宋体" w:cs="Times New Roman"/>
          <w:sz w:val="24"/>
          <w:szCs w:val="24"/>
        </w:rPr>
        <w:t>、</w:t>
      </w:r>
      <w:r>
        <w:rPr>
          <w:rFonts w:ascii="Times New Roman" w:hAnsi="Times New Roman" w:eastAsia="宋体" w:cs="Times New Roman"/>
          <w:sz w:val="24"/>
          <w:szCs w:val="24"/>
        </w:rPr>
        <w:t>各部位（主根、须根、叶）中的挥发油含量、浸出物含量与化学成分变化，结果发现石菖蒲各部位中的挥发油含量、浸出物含量在不同采收期有显著性差异，</w:t>
      </w:r>
      <w:r>
        <w:rPr>
          <w:rFonts w:hint="eastAsia" w:ascii="Times New Roman" w:hAnsi="Times New Roman" w:eastAsia="宋体" w:cs="Times New Roman"/>
          <w:sz w:val="24"/>
          <w:szCs w:val="24"/>
        </w:rPr>
        <w:t>且</w:t>
      </w:r>
      <w:r>
        <w:rPr>
          <w:rFonts w:ascii="Times New Roman" w:hAnsi="Times New Roman" w:eastAsia="宋体" w:cs="Times New Roman"/>
          <w:sz w:val="24"/>
          <w:szCs w:val="24"/>
        </w:rPr>
        <w:t>主根均符合</w:t>
      </w:r>
      <w:r>
        <w:rPr>
          <w:rFonts w:hint="eastAsia" w:ascii="Times New Roman" w:hAnsi="Times New Roman" w:eastAsia="宋体" w:cs="Times New Roman"/>
          <w:sz w:val="24"/>
          <w:szCs w:val="24"/>
        </w:rPr>
        <w:t>《中国药典》</w:t>
      </w:r>
      <w:r>
        <w:rPr>
          <w:rFonts w:ascii="Times New Roman" w:hAnsi="Times New Roman" w:eastAsia="宋体" w:cs="Times New Roman"/>
          <w:sz w:val="24"/>
          <w:szCs w:val="24"/>
        </w:rPr>
        <w:t>的质量要求，主根在10月下旬挥发油含量最高，叶在9月挥发油含量最高，须根在11月上旬挥发油含量最高。通过PLS-DA分析HS-SPME-GC-MS鉴定的化合物，筛选含量差异性化合物，</w:t>
      </w:r>
      <w:r>
        <w:rPr>
          <w:rFonts w:hint="eastAsia" w:ascii="Times New Roman" w:hAnsi="Times New Roman" w:eastAsia="宋体" w:cs="Times New Roman"/>
          <w:sz w:val="24"/>
          <w:szCs w:val="24"/>
        </w:rPr>
        <w:t>从</w:t>
      </w:r>
      <w:r>
        <w:rPr>
          <w:rFonts w:ascii="Times New Roman" w:hAnsi="Times New Roman" w:eastAsia="宋体" w:cs="Times New Roman"/>
          <w:sz w:val="24"/>
          <w:szCs w:val="24"/>
        </w:rPr>
        <w:t>主根、叶、须根分别筛选出26个、31个、27个化合物，采用综合加权评分法进行综合评价，结果发现主根在9月至11月下旬采收得分较高；叶在4月至6月采收得分较高；须根在3月至5月采收得分较高。对主根、须根与叶中化合物进一步分析筛选后发现，须根与主根挥发性成分重合度达到41.09%，叶与主根挥发性成分重合度达到38.3%，且都包含了石菖蒲的主要药效成分α-细辛醚、β-细辛醚、γ细辛醚、甲基丁香酚、β-榄香烯、β-石竹烯等主要成分，石菖蒲须根与叶具有一定的开发利用价值。</w:t>
      </w:r>
    </w:p>
    <w:p>
      <w:pPr>
        <w:spacing w:line="360" w:lineRule="auto"/>
        <w:jc w:val="center"/>
        <w:rPr>
          <w:rFonts w:ascii="Times New Roman" w:hAnsi="Times New Roman" w:eastAsia="宋体" w:cs="Times New Roman"/>
          <w:sz w:val="24"/>
          <w:szCs w:val="24"/>
        </w:rPr>
      </w:pPr>
      <w:r>
        <w:drawing>
          <wp:inline distT="0" distB="0" distL="0" distR="0">
            <wp:extent cx="4156075" cy="1971040"/>
            <wp:effectExtent l="0" t="0" r="15875" b="1016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图1 石菖蒲不同部位不同采收期挥发油含量变化</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产地初加工方法的确定</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项目组对</w:t>
      </w:r>
      <w:r>
        <w:rPr>
          <w:rFonts w:hint="eastAsia" w:ascii="Times New Roman" w:hAnsi="Times New Roman" w:eastAsia="宋体" w:cs="Times New Roman"/>
          <w:sz w:val="24"/>
          <w:szCs w:val="24"/>
        </w:rPr>
        <w:t>采挖</w:t>
      </w:r>
      <w:r>
        <w:rPr>
          <w:rFonts w:ascii="Times New Roman" w:hAnsi="Times New Roman" w:eastAsia="宋体" w:cs="Times New Roman"/>
          <w:sz w:val="24"/>
          <w:szCs w:val="24"/>
        </w:rPr>
        <w:t>后的石菖蒲采用不同干燥工艺处理（冻干、阴干、晒干、40℃、50℃、55℃、60℃、65℃、70℃烘干），测定挥发油含量、浸出物含量和挥发油化学成分，结果发现不同干燥方式</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石菖蒲挥发油含量与浸出物含量有显著性差异，但都符合</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中国药典</w:t>
      </w:r>
      <w:r>
        <w:rPr>
          <w:rFonts w:hint="eastAsia" w:ascii="Times New Roman" w:hAnsi="Times New Roman" w:eastAsia="宋体" w:cs="Times New Roman"/>
          <w:sz w:val="24"/>
          <w:szCs w:val="24"/>
        </w:rPr>
        <w:t>》</w:t>
      </w:r>
      <w:r>
        <w:rPr>
          <w:rFonts w:ascii="Times New Roman" w:hAnsi="Times New Roman" w:eastAsia="宋体" w:cs="Times New Roman"/>
          <w:sz w:val="24"/>
          <w:szCs w:val="24"/>
        </w:rPr>
        <w:t>的质量要求，主根65℃烘干挥发油含量较高，叶55℃烘干挥发油含量较高，须根60℃烘干下挥发油含量较高。通过PLS-DA分析从挥发油成分中筛选出含量差异性化合物主根26个、叶31个、须根27个，经综合加权分析</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主根不同干燥工艺组（</w:t>
      </w:r>
      <w:r>
        <w:rPr>
          <w:rFonts w:hint="eastAsia" w:ascii="Times New Roman" w:hAnsi="Times New Roman" w:eastAsia="宋体" w:cs="Times New Roman"/>
          <w:sz w:val="24"/>
          <w:szCs w:val="24"/>
        </w:rPr>
        <w:t>4</w:t>
      </w:r>
      <w:r>
        <w:rPr>
          <w:rFonts w:ascii="Times New Roman" w:hAnsi="Times New Roman" w:eastAsia="宋体" w:cs="Times New Roman"/>
          <w:sz w:val="24"/>
          <w:szCs w:val="24"/>
        </w:rPr>
        <w:t>0℃、50℃、55℃、60℃、65℃、70℃、晒干、阴干、冻干）得分依次为41.58、41.14、43.31、34.51、44.29、57.23、32.90、58.11、44.29；石菖蒲叶不同干燥工艺组（</w:t>
      </w:r>
      <w:r>
        <w:rPr>
          <w:rFonts w:hint="eastAsia" w:ascii="Times New Roman" w:hAnsi="Times New Roman" w:eastAsia="宋体" w:cs="Times New Roman"/>
          <w:sz w:val="24"/>
          <w:szCs w:val="24"/>
        </w:rPr>
        <w:t>同主根</w:t>
      </w:r>
      <w:r>
        <w:rPr>
          <w:rFonts w:ascii="Times New Roman" w:hAnsi="Times New Roman" w:eastAsia="宋体" w:cs="Times New Roman"/>
          <w:sz w:val="24"/>
          <w:szCs w:val="24"/>
        </w:rPr>
        <w:t>）得分分别为43.91、52.57、55.36、60.97、56.60、48.87、54.27；须根不同干燥工艺组（</w:t>
      </w:r>
      <w:r>
        <w:rPr>
          <w:rFonts w:hint="eastAsia" w:ascii="Times New Roman" w:hAnsi="Times New Roman" w:eastAsia="宋体" w:cs="Times New Roman"/>
          <w:sz w:val="24"/>
          <w:szCs w:val="24"/>
        </w:rPr>
        <w:t>同主根</w:t>
      </w:r>
      <w:r>
        <w:rPr>
          <w:rFonts w:ascii="Times New Roman" w:hAnsi="Times New Roman" w:eastAsia="宋体" w:cs="Times New Roman"/>
          <w:sz w:val="24"/>
          <w:szCs w:val="24"/>
        </w:rPr>
        <w:t>）得分分别为37.19、38.21、43.55、42.65、43.95、32.77、36.93，主根阴干质量最优，烘干工艺中70℃烘干质量较优，叶在65℃烘干下质量最优，须根在</w:t>
      </w:r>
      <w:r>
        <w:rPr>
          <w:rFonts w:hint="eastAsia" w:ascii="Times New Roman" w:hAnsi="Times New Roman" w:eastAsia="宋体" w:cs="Times New Roman"/>
          <w:sz w:val="24"/>
          <w:szCs w:val="24"/>
        </w:rPr>
        <w:t>6</w:t>
      </w:r>
      <w:r>
        <w:rPr>
          <w:rFonts w:ascii="Times New Roman" w:hAnsi="Times New Roman" w:eastAsia="宋体" w:cs="Times New Roman"/>
          <w:sz w:val="24"/>
          <w:szCs w:val="24"/>
        </w:rPr>
        <w:t>5℃烘干下质量最优。</w:t>
      </w:r>
    </w:p>
    <w:p>
      <w:pPr>
        <w:spacing w:line="360" w:lineRule="auto"/>
        <w:ind w:firstLine="420" w:firstLineChars="200"/>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3</w:t>
      </w:r>
      <w:r>
        <w:rPr>
          <w:rFonts w:ascii="Times New Roman" w:hAnsi="Times New Roman" w:eastAsia="黑体" w:cs="Times New Roman"/>
        </w:rPr>
        <w:t xml:space="preserve"> 不同干燥方法对</w:t>
      </w:r>
      <w:r>
        <w:rPr>
          <w:rFonts w:hint="eastAsia" w:ascii="Times New Roman" w:hAnsi="Times New Roman" w:eastAsia="黑体" w:cs="Times New Roman"/>
        </w:rPr>
        <w:t>石菖蒲</w:t>
      </w:r>
      <w:r>
        <w:rPr>
          <w:rFonts w:ascii="Times New Roman" w:hAnsi="Times New Roman" w:eastAsia="黑体" w:cs="Times New Roman"/>
        </w:rPr>
        <w:t>质量的影响</w:t>
      </w:r>
    </w:p>
    <w:tbl>
      <w:tblPr>
        <w:tblStyle w:val="15"/>
        <w:tblW w:w="4460" w:type="dxa"/>
        <w:jc w:val="center"/>
        <w:tblLayout w:type="fixed"/>
        <w:tblCellMar>
          <w:top w:w="0" w:type="dxa"/>
          <w:left w:w="0" w:type="dxa"/>
          <w:bottom w:w="0" w:type="dxa"/>
          <w:right w:w="0" w:type="dxa"/>
        </w:tblCellMar>
      </w:tblPr>
      <w:tblGrid>
        <w:gridCol w:w="1336"/>
        <w:gridCol w:w="850"/>
        <w:gridCol w:w="1137"/>
        <w:gridCol w:w="1137"/>
      </w:tblGrid>
      <w:tr>
        <w:tblPrEx>
          <w:tblCellMar>
            <w:top w:w="0" w:type="dxa"/>
            <w:left w:w="0" w:type="dxa"/>
            <w:bottom w:w="0" w:type="dxa"/>
            <w:right w:w="0" w:type="dxa"/>
          </w:tblCellMar>
        </w:tblPrEx>
        <w:trPr>
          <w:trHeight w:val="262" w:hRule="atLeast"/>
          <w:jc w:val="center"/>
        </w:trPr>
        <w:tc>
          <w:tcPr>
            <w:tcW w:w="1336" w:type="dxa"/>
            <w:tcBorders>
              <w:top w:val="single" w:color="auto" w:sz="4" w:space="0"/>
              <w:bottom w:val="single" w:color="000000" w:sz="4" w:space="0"/>
            </w:tcBorders>
            <w:vAlign w:val="center"/>
          </w:tcPr>
          <w:p>
            <w:pPr>
              <w:pStyle w:val="17"/>
              <w:spacing w:line="360" w:lineRule="auto"/>
              <w:rPr>
                <w:rFonts w:ascii="Times New Roman" w:hAnsi="Times New Roman" w:cs="Times New Roman"/>
                <w:sz w:val="18"/>
                <w:szCs w:val="18"/>
              </w:rPr>
            </w:pPr>
            <w:r>
              <w:rPr>
                <w:rFonts w:ascii="Times New Roman" w:hAnsi="Times New Roman" w:cs="Times New Roman"/>
                <w:sz w:val="18"/>
                <w:szCs w:val="18"/>
                <w:lang w:eastAsia="zh-CN"/>
              </w:rPr>
              <w:t>方法</w:t>
            </w:r>
          </w:p>
        </w:tc>
        <w:tc>
          <w:tcPr>
            <w:tcW w:w="850" w:type="dxa"/>
            <w:tcBorders>
              <w:top w:val="single" w:color="auto" w:sz="4" w:space="0"/>
              <w:bottom w:val="single" w:color="000000" w:sz="4" w:space="0"/>
            </w:tcBorders>
            <w:vAlign w:val="center"/>
          </w:tcPr>
          <w:p>
            <w:pPr>
              <w:pStyle w:val="17"/>
              <w:spacing w:line="360" w:lineRule="auto"/>
              <w:ind w:left="31" w:right="36"/>
              <w:rPr>
                <w:rFonts w:ascii="Times New Roman" w:hAnsi="Times New Roman" w:cs="Times New Roman"/>
                <w:spacing w:val="2"/>
                <w:w w:val="103"/>
                <w:sz w:val="18"/>
                <w:szCs w:val="18"/>
                <w:lang w:eastAsia="zh-CN"/>
              </w:rPr>
            </w:pPr>
            <w:r>
              <w:rPr>
                <w:rFonts w:hint="eastAsia" w:ascii="Times New Roman" w:hAnsi="Times New Roman" w:cs="Times New Roman"/>
                <w:spacing w:val="2"/>
                <w:w w:val="103"/>
                <w:sz w:val="18"/>
                <w:szCs w:val="18"/>
                <w:lang w:eastAsia="zh-CN"/>
              </w:rPr>
              <w:t>精油得率</w:t>
            </w:r>
          </w:p>
        </w:tc>
        <w:tc>
          <w:tcPr>
            <w:tcW w:w="1137" w:type="dxa"/>
            <w:tcBorders>
              <w:top w:val="single" w:color="auto" w:sz="4" w:space="0"/>
              <w:bottom w:val="single" w:color="000000" w:sz="4" w:space="0"/>
            </w:tcBorders>
          </w:tcPr>
          <w:p>
            <w:pPr>
              <w:pStyle w:val="17"/>
              <w:spacing w:line="360" w:lineRule="auto"/>
              <w:ind w:left="31" w:right="36"/>
              <w:rPr>
                <w:rFonts w:ascii="Times New Roman" w:hAnsi="Times New Roman" w:cs="Times New Roman"/>
                <w:spacing w:val="2"/>
                <w:w w:val="103"/>
                <w:sz w:val="18"/>
                <w:szCs w:val="18"/>
                <w:lang w:eastAsia="zh-CN"/>
              </w:rPr>
            </w:pPr>
            <w:r>
              <w:rPr>
                <w:rFonts w:hint="eastAsia" w:ascii="Times New Roman" w:hAnsi="Times New Roman" w:cs="Times New Roman"/>
                <w:spacing w:val="2"/>
                <w:w w:val="103"/>
                <w:sz w:val="18"/>
                <w:szCs w:val="18"/>
                <w:lang w:eastAsia="zh-CN"/>
              </w:rPr>
              <w:t>水分</w:t>
            </w:r>
          </w:p>
        </w:tc>
        <w:tc>
          <w:tcPr>
            <w:tcW w:w="1137" w:type="dxa"/>
            <w:tcBorders>
              <w:top w:val="single" w:color="auto" w:sz="4" w:space="0"/>
              <w:bottom w:val="single" w:color="000000" w:sz="4" w:space="0"/>
            </w:tcBorders>
            <w:vAlign w:val="center"/>
          </w:tcPr>
          <w:p>
            <w:pPr>
              <w:pStyle w:val="17"/>
              <w:spacing w:line="360" w:lineRule="auto"/>
              <w:ind w:left="31" w:right="36"/>
              <w:rPr>
                <w:rFonts w:ascii="Times New Roman" w:hAnsi="Times New Roman" w:cs="Times New Roman"/>
                <w:spacing w:val="2"/>
                <w:w w:val="103"/>
                <w:sz w:val="18"/>
                <w:szCs w:val="18"/>
                <w:lang w:eastAsia="zh-CN"/>
              </w:rPr>
            </w:pPr>
            <w:r>
              <w:rPr>
                <w:rFonts w:hint="eastAsia" w:ascii="Times New Roman" w:hAnsi="Times New Roman" w:cs="Times New Roman"/>
                <w:spacing w:val="2"/>
                <w:w w:val="103"/>
                <w:sz w:val="18"/>
                <w:szCs w:val="18"/>
                <w:lang w:eastAsia="zh-CN"/>
              </w:rPr>
              <w:t>浸出物含量</w:t>
            </w:r>
          </w:p>
        </w:tc>
      </w:tr>
      <w:tr>
        <w:tblPrEx>
          <w:tblCellMar>
            <w:top w:w="0" w:type="dxa"/>
            <w:left w:w="0" w:type="dxa"/>
            <w:bottom w:w="0" w:type="dxa"/>
            <w:right w:w="0" w:type="dxa"/>
          </w:tblCellMar>
        </w:tblPrEx>
        <w:trPr>
          <w:trHeight w:val="345" w:hRule="atLeast"/>
          <w:jc w:val="center"/>
        </w:trPr>
        <w:tc>
          <w:tcPr>
            <w:tcW w:w="1336" w:type="dxa"/>
            <w:tcBorders>
              <w:top w:val="single" w:color="000000" w:sz="4" w:space="0"/>
            </w:tcBorders>
            <w:vAlign w:val="center"/>
          </w:tcPr>
          <w:p>
            <w:pPr>
              <w:pStyle w:val="17"/>
              <w:spacing w:before="30" w:line="360" w:lineRule="auto"/>
              <w:ind w:left="1"/>
              <w:rPr>
                <w:rFonts w:ascii="Times New Roman" w:hAnsi="Times New Roman" w:cs="Times New Roman"/>
                <w:sz w:val="18"/>
                <w:szCs w:val="18"/>
                <w:lang w:eastAsia="zh-CN"/>
              </w:rPr>
            </w:pPr>
            <w:r>
              <w:rPr>
                <w:rFonts w:hint="eastAsia" w:ascii="Times New Roman" w:hAnsi="Times New Roman" w:cs="Times New Roman"/>
                <w:sz w:val="18"/>
                <w:szCs w:val="18"/>
                <w:lang w:eastAsia="zh-CN"/>
              </w:rPr>
              <w:t>阴干</w:t>
            </w:r>
          </w:p>
        </w:tc>
        <w:tc>
          <w:tcPr>
            <w:tcW w:w="850" w:type="dxa"/>
            <w:tcBorders>
              <w:top w:val="single" w:color="000000" w:sz="4" w:space="0"/>
            </w:tcBorders>
            <w:vAlign w:val="center"/>
          </w:tcPr>
          <w:p>
            <w:pPr>
              <w:pStyle w:val="17"/>
              <w:spacing w:before="22"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1.40%</w:t>
            </w:r>
          </w:p>
        </w:tc>
        <w:tc>
          <w:tcPr>
            <w:tcW w:w="1137" w:type="dxa"/>
            <w:tcBorders>
              <w:top w:val="single" w:color="000000" w:sz="4" w:space="0"/>
            </w:tcBorders>
          </w:tcPr>
          <w:p>
            <w:pPr>
              <w:pStyle w:val="17"/>
              <w:spacing w:before="22" w:line="360" w:lineRule="auto"/>
              <w:ind w:left="84" w:right="29"/>
              <w:rPr>
                <w:rFonts w:ascii="Times New Roman" w:hAnsi="Times New Roman" w:cs="Times New Roman"/>
                <w:spacing w:val="7"/>
                <w:w w:val="103"/>
                <w:sz w:val="18"/>
                <w:szCs w:val="18"/>
                <w:lang w:eastAsia="zh-CN"/>
              </w:rPr>
            </w:pPr>
            <w:r>
              <w:rPr>
                <w:rFonts w:ascii="Times New Roman" w:hAnsi="Times New Roman" w:cs="Times New Roman"/>
                <w:spacing w:val="7"/>
                <w:w w:val="103"/>
                <w:sz w:val="18"/>
                <w:szCs w:val="18"/>
                <w:lang w:eastAsia="zh-CN"/>
              </w:rPr>
              <w:t>11.30%</w:t>
            </w:r>
          </w:p>
        </w:tc>
        <w:tc>
          <w:tcPr>
            <w:tcW w:w="1137" w:type="dxa"/>
            <w:tcBorders>
              <w:top w:val="single" w:color="000000" w:sz="4" w:space="0"/>
            </w:tcBorders>
            <w:vAlign w:val="center"/>
          </w:tcPr>
          <w:p>
            <w:pPr>
              <w:pStyle w:val="17"/>
              <w:spacing w:before="22" w:line="360" w:lineRule="auto"/>
              <w:ind w:left="84" w:right="29"/>
              <w:rPr>
                <w:rFonts w:ascii="Times New Roman" w:hAnsi="Times New Roman" w:cs="Times New Roman"/>
                <w:spacing w:val="7"/>
                <w:w w:val="103"/>
                <w:sz w:val="18"/>
                <w:szCs w:val="18"/>
                <w:lang w:eastAsia="zh-CN"/>
              </w:rPr>
            </w:pPr>
            <w:r>
              <w:rPr>
                <w:rFonts w:hint="eastAsia" w:ascii="Times New Roman" w:hAnsi="Times New Roman" w:cs="Times New Roman"/>
                <w:spacing w:val="7"/>
                <w:w w:val="103"/>
                <w:sz w:val="18"/>
                <w:szCs w:val="18"/>
                <w:lang w:eastAsia="zh-CN"/>
              </w:rPr>
              <w:t>16.99%</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3" w:line="360" w:lineRule="auto"/>
              <w:ind w:left="1"/>
              <w:rPr>
                <w:rFonts w:ascii="Times New Roman" w:hAnsi="Times New Roman" w:cs="Times New Roman"/>
                <w:sz w:val="18"/>
                <w:szCs w:val="18"/>
                <w:lang w:eastAsia="zh-CN"/>
              </w:rPr>
            </w:pPr>
            <w:r>
              <w:rPr>
                <w:rFonts w:hint="eastAsia" w:ascii="Times New Roman" w:hAnsi="Times New Roman" w:cs="Times New Roman"/>
                <w:sz w:val="18"/>
                <w:szCs w:val="18"/>
                <w:lang w:eastAsia="zh-CN"/>
              </w:rPr>
              <w:t>晒干</w:t>
            </w:r>
          </w:p>
        </w:tc>
        <w:tc>
          <w:tcPr>
            <w:tcW w:w="850" w:type="dxa"/>
            <w:vAlign w:val="center"/>
          </w:tcPr>
          <w:p>
            <w:pPr>
              <w:pStyle w:val="17"/>
              <w:spacing w:before="22" w:line="360" w:lineRule="auto"/>
              <w:ind w:left="84" w:right="29"/>
              <w:rPr>
                <w:rFonts w:ascii="Times New Roman" w:hAnsi="Times New Roman" w:cs="Times New Roman"/>
                <w:spacing w:val="7"/>
                <w:w w:val="103"/>
                <w:sz w:val="18"/>
                <w:szCs w:val="18"/>
                <w:lang w:eastAsia="zh-CN"/>
              </w:rPr>
            </w:pPr>
            <w:r>
              <w:rPr>
                <w:rFonts w:hint="eastAsia" w:ascii="Times New Roman" w:hAnsi="Times New Roman" w:cs="Times New Roman"/>
                <w:spacing w:val="7"/>
                <w:w w:val="103"/>
                <w:sz w:val="18"/>
                <w:szCs w:val="18"/>
                <w:lang w:eastAsia="zh-CN"/>
              </w:rPr>
              <w:t>1.59%</w:t>
            </w:r>
          </w:p>
        </w:tc>
        <w:tc>
          <w:tcPr>
            <w:tcW w:w="1137" w:type="dxa"/>
          </w:tcPr>
          <w:p>
            <w:pPr>
              <w:pStyle w:val="17"/>
              <w:spacing w:before="22" w:line="360" w:lineRule="auto"/>
              <w:ind w:left="31" w:right="26"/>
              <w:rPr>
                <w:rFonts w:ascii="Times New Roman" w:hAnsi="Times New Roman" w:cs="Times New Roman"/>
                <w:spacing w:val="7"/>
                <w:w w:val="103"/>
                <w:sz w:val="18"/>
                <w:szCs w:val="18"/>
                <w:lang w:eastAsia="zh-CN"/>
              </w:rPr>
            </w:pPr>
            <w:r>
              <w:rPr>
                <w:rFonts w:ascii="Times New Roman" w:hAnsi="Times New Roman" w:cs="Times New Roman"/>
                <w:spacing w:val="7"/>
                <w:w w:val="103"/>
                <w:sz w:val="18"/>
                <w:szCs w:val="18"/>
                <w:lang w:eastAsia="zh-CN"/>
              </w:rPr>
              <w:t>11.10%</w:t>
            </w:r>
          </w:p>
        </w:tc>
        <w:tc>
          <w:tcPr>
            <w:tcW w:w="1137" w:type="dxa"/>
            <w:vAlign w:val="center"/>
          </w:tcPr>
          <w:p>
            <w:pPr>
              <w:pStyle w:val="17"/>
              <w:spacing w:before="22" w:line="360" w:lineRule="auto"/>
              <w:ind w:left="31" w:right="26"/>
              <w:rPr>
                <w:rFonts w:ascii="Times New Roman" w:hAnsi="Times New Roman" w:cs="Times New Roman"/>
                <w:spacing w:val="7"/>
                <w:w w:val="103"/>
                <w:sz w:val="18"/>
                <w:szCs w:val="18"/>
                <w:lang w:eastAsia="zh-CN"/>
              </w:rPr>
            </w:pPr>
            <w:r>
              <w:rPr>
                <w:rFonts w:hint="eastAsia" w:ascii="Times New Roman" w:hAnsi="Times New Roman" w:cs="Times New Roman"/>
                <w:spacing w:val="7"/>
                <w:w w:val="103"/>
                <w:sz w:val="18"/>
                <w:szCs w:val="18"/>
                <w:lang w:eastAsia="zh-CN"/>
              </w:rPr>
              <w:t>16.92%</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4" w:line="360" w:lineRule="auto"/>
              <w:ind w:left="1"/>
              <w:rPr>
                <w:rFonts w:ascii="Times New Roman" w:hAnsi="Times New Roman" w:cs="Times New Roman"/>
                <w:sz w:val="18"/>
                <w:szCs w:val="18"/>
                <w:lang w:eastAsia="zh-CN"/>
              </w:rPr>
            </w:pPr>
            <w:r>
              <w:rPr>
                <w:rFonts w:hint="eastAsia" w:ascii="Times New Roman" w:hAnsi="Times New Roman" w:cs="Times New Roman"/>
                <w:sz w:val="18"/>
                <w:szCs w:val="18"/>
                <w:lang w:eastAsia="zh-CN"/>
              </w:rPr>
              <w:t>冻干</w:t>
            </w:r>
          </w:p>
        </w:tc>
        <w:tc>
          <w:tcPr>
            <w:tcW w:w="850" w:type="dxa"/>
            <w:vAlign w:val="center"/>
          </w:tcPr>
          <w:p>
            <w:pPr>
              <w:pStyle w:val="17"/>
              <w:spacing w:before="5" w:line="360" w:lineRule="auto"/>
              <w:ind w:left="84" w:right="29"/>
              <w:rPr>
                <w:rFonts w:ascii="Times New Roman" w:hAnsi="Times New Roman" w:cs="Times New Roman"/>
                <w:sz w:val="18"/>
                <w:szCs w:val="18"/>
              </w:rPr>
            </w:pPr>
            <w:r>
              <w:rPr>
                <w:rFonts w:hint="eastAsia" w:ascii="Times New Roman" w:hAnsi="Times New Roman" w:cs="Times New Roman"/>
                <w:spacing w:val="7"/>
                <w:w w:val="103"/>
                <w:sz w:val="18"/>
                <w:szCs w:val="18"/>
                <w:lang w:eastAsia="zh-CN"/>
              </w:rPr>
              <w:t>1.50%</w:t>
            </w:r>
          </w:p>
        </w:tc>
        <w:tc>
          <w:tcPr>
            <w:tcW w:w="1137" w:type="dxa"/>
          </w:tcPr>
          <w:p>
            <w:pPr>
              <w:pStyle w:val="17"/>
              <w:spacing w:before="22" w:line="360" w:lineRule="auto"/>
              <w:ind w:left="84" w:right="29"/>
              <w:rPr>
                <w:rFonts w:ascii="Times New Roman" w:hAnsi="Times New Roman" w:cs="Times New Roman"/>
                <w:spacing w:val="7"/>
                <w:w w:val="103"/>
                <w:sz w:val="18"/>
                <w:szCs w:val="18"/>
                <w:lang w:eastAsia="zh-CN"/>
              </w:rPr>
            </w:pPr>
            <w:r>
              <w:rPr>
                <w:rFonts w:ascii="Times New Roman" w:hAnsi="Times New Roman" w:cs="Times New Roman"/>
                <w:spacing w:val="7"/>
                <w:w w:val="103"/>
                <w:sz w:val="18"/>
                <w:szCs w:val="18"/>
                <w:lang w:eastAsia="zh-CN"/>
              </w:rPr>
              <w:t>11.60%</w:t>
            </w:r>
          </w:p>
        </w:tc>
        <w:tc>
          <w:tcPr>
            <w:tcW w:w="1137" w:type="dxa"/>
            <w:vAlign w:val="center"/>
          </w:tcPr>
          <w:p>
            <w:pPr>
              <w:pStyle w:val="17"/>
              <w:spacing w:before="22" w:line="360" w:lineRule="auto"/>
              <w:ind w:left="84" w:right="29"/>
              <w:rPr>
                <w:rFonts w:ascii="Times New Roman" w:hAnsi="Times New Roman" w:cs="Times New Roman"/>
                <w:spacing w:val="7"/>
                <w:w w:val="103"/>
                <w:sz w:val="18"/>
                <w:szCs w:val="18"/>
                <w:lang w:eastAsia="zh-CN"/>
              </w:rPr>
            </w:pPr>
            <w:r>
              <w:rPr>
                <w:rFonts w:hint="eastAsia" w:ascii="Times New Roman" w:hAnsi="Times New Roman" w:cs="Times New Roman"/>
                <w:spacing w:val="7"/>
                <w:w w:val="103"/>
                <w:sz w:val="18"/>
                <w:szCs w:val="18"/>
                <w:lang w:eastAsia="zh-CN"/>
              </w:rPr>
              <w:t>16.66%</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4" w:line="360" w:lineRule="auto"/>
              <w:ind w:left="1"/>
              <w:rPr>
                <w:rFonts w:ascii="Times New Roman" w:hAnsi="Times New Roman" w:cs="Times New Roman"/>
                <w:sz w:val="18"/>
                <w:szCs w:val="18"/>
                <w:lang w:eastAsia="zh-CN"/>
              </w:rPr>
            </w:pPr>
            <w:r>
              <w:rPr>
                <w:rFonts w:hint="eastAsia" w:ascii="Times New Roman" w:hAnsi="Times New Roman" w:cs="Times New Roman"/>
                <w:sz w:val="18"/>
                <w:szCs w:val="18"/>
                <w:lang w:eastAsia="zh-CN"/>
              </w:rPr>
              <w:t>40</w:t>
            </w:r>
            <w:r>
              <w:rPr>
                <w:rFonts w:ascii="Times New Roman" w:hAnsi="Times New Roman" w:cs="Times New Roman"/>
                <w:sz w:val="18"/>
                <w:szCs w:val="18"/>
                <w:lang w:eastAsia="zh-CN"/>
              </w:rPr>
              <w:t>℃</w:t>
            </w:r>
            <w:r>
              <w:rPr>
                <w:rFonts w:hint="eastAsia" w:ascii="Times New Roman" w:hAnsi="Times New Roman" w:cs="Times New Roman"/>
                <w:sz w:val="18"/>
                <w:szCs w:val="18"/>
                <w:lang w:eastAsia="zh-CN"/>
              </w:rPr>
              <w:t>鼓风烘干燥</w:t>
            </w:r>
          </w:p>
        </w:tc>
        <w:tc>
          <w:tcPr>
            <w:tcW w:w="850" w:type="dxa"/>
            <w:vAlign w:val="center"/>
          </w:tcPr>
          <w:p>
            <w:pPr>
              <w:pStyle w:val="17"/>
              <w:spacing w:before="5"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1.00%</w:t>
            </w:r>
          </w:p>
        </w:tc>
        <w:tc>
          <w:tcPr>
            <w:tcW w:w="1137" w:type="dxa"/>
            <w:vAlign w:val="center"/>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color w:val="000000"/>
                <w:sz w:val="18"/>
                <w:szCs w:val="18"/>
              </w:rPr>
              <w:t>11.80%</w:t>
            </w:r>
          </w:p>
        </w:tc>
        <w:tc>
          <w:tcPr>
            <w:tcW w:w="1137" w:type="dxa"/>
            <w:vAlign w:val="bottom"/>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eastAsia="等线"/>
                <w:color w:val="000000"/>
                <w:sz w:val="18"/>
                <w:szCs w:val="18"/>
              </w:rPr>
              <w:t>17.51%</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3" w:line="360" w:lineRule="auto"/>
              <w:ind w:left="1"/>
              <w:rPr>
                <w:rFonts w:ascii="Times New Roman" w:hAnsi="Times New Roman" w:cs="Times New Roman"/>
                <w:sz w:val="18"/>
                <w:szCs w:val="18"/>
                <w:lang w:eastAsia="zh-CN"/>
              </w:rPr>
            </w:pPr>
            <w:r>
              <w:rPr>
                <w:rFonts w:hint="eastAsia" w:ascii="Times New Roman" w:hAnsi="Times New Roman" w:cs="Times New Roman"/>
                <w:sz w:val="18"/>
                <w:szCs w:val="18"/>
                <w:lang w:eastAsia="zh-CN"/>
              </w:rPr>
              <w:t>50</w:t>
            </w:r>
            <w:r>
              <w:rPr>
                <w:rFonts w:ascii="Times New Roman" w:hAnsi="Times New Roman" w:cs="Times New Roman"/>
                <w:sz w:val="18"/>
                <w:szCs w:val="18"/>
                <w:lang w:eastAsia="zh-CN"/>
              </w:rPr>
              <w:t>℃</w:t>
            </w:r>
            <w:r>
              <w:rPr>
                <w:rFonts w:hint="eastAsia" w:ascii="Times New Roman" w:hAnsi="Times New Roman" w:cs="Times New Roman"/>
                <w:sz w:val="18"/>
                <w:szCs w:val="18"/>
                <w:lang w:eastAsia="zh-CN"/>
              </w:rPr>
              <w:t>鼓风烘干燥</w:t>
            </w:r>
          </w:p>
        </w:tc>
        <w:tc>
          <w:tcPr>
            <w:tcW w:w="850" w:type="dxa"/>
            <w:vAlign w:val="center"/>
          </w:tcPr>
          <w:p>
            <w:pPr>
              <w:pStyle w:val="17"/>
              <w:spacing w:before="4"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1.20%</w:t>
            </w:r>
          </w:p>
        </w:tc>
        <w:tc>
          <w:tcPr>
            <w:tcW w:w="1137" w:type="dxa"/>
            <w:vAlign w:val="center"/>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color w:val="000000"/>
                <w:sz w:val="18"/>
                <w:szCs w:val="18"/>
              </w:rPr>
              <w:t>10.70%</w:t>
            </w:r>
          </w:p>
        </w:tc>
        <w:tc>
          <w:tcPr>
            <w:tcW w:w="1137" w:type="dxa"/>
            <w:vAlign w:val="bottom"/>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eastAsia="等线"/>
                <w:color w:val="000000"/>
                <w:sz w:val="18"/>
                <w:szCs w:val="18"/>
              </w:rPr>
              <w:t>16.45%</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4" w:line="360" w:lineRule="auto"/>
              <w:ind w:left="1"/>
              <w:rPr>
                <w:rFonts w:ascii="Times New Roman" w:hAnsi="Times New Roman" w:cs="Times New Roman"/>
                <w:sz w:val="18"/>
                <w:szCs w:val="18"/>
              </w:rPr>
            </w:pPr>
            <w:r>
              <w:rPr>
                <w:rFonts w:hint="eastAsia" w:ascii="Times New Roman" w:hAnsi="Times New Roman" w:cs="Times New Roman"/>
                <w:sz w:val="18"/>
                <w:szCs w:val="18"/>
                <w:lang w:eastAsia="zh-CN"/>
              </w:rPr>
              <w:t>55</w:t>
            </w:r>
            <w:r>
              <w:rPr>
                <w:rFonts w:ascii="Times New Roman" w:hAnsi="Times New Roman" w:cs="Times New Roman"/>
                <w:sz w:val="18"/>
                <w:szCs w:val="18"/>
                <w:lang w:eastAsia="zh-CN"/>
              </w:rPr>
              <w:t>℃</w:t>
            </w:r>
            <w:r>
              <w:rPr>
                <w:rFonts w:hint="eastAsia" w:ascii="Times New Roman" w:hAnsi="Times New Roman" w:cs="Times New Roman"/>
                <w:sz w:val="18"/>
                <w:szCs w:val="18"/>
                <w:lang w:eastAsia="zh-CN"/>
              </w:rPr>
              <w:t>鼓风烘干燥</w:t>
            </w:r>
          </w:p>
        </w:tc>
        <w:tc>
          <w:tcPr>
            <w:tcW w:w="850" w:type="dxa"/>
            <w:vAlign w:val="center"/>
          </w:tcPr>
          <w:p>
            <w:pPr>
              <w:pStyle w:val="17"/>
              <w:spacing w:before="5"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1.30%</w:t>
            </w:r>
          </w:p>
        </w:tc>
        <w:tc>
          <w:tcPr>
            <w:tcW w:w="1137" w:type="dxa"/>
            <w:vAlign w:val="center"/>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color w:val="000000"/>
                <w:sz w:val="18"/>
                <w:szCs w:val="18"/>
              </w:rPr>
              <w:t>11.50%</w:t>
            </w:r>
          </w:p>
        </w:tc>
        <w:tc>
          <w:tcPr>
            <w:tcW w:w="1137" w:type="dxa"/>
            <w:vAlign w:val="bottom"/>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eastAsia="等线"/>
                <w:color w:val="000000"/>
                <w:sz w:val="18"/>
                <w:szCs w:val="18"/>
              </w:rPr>
              <w:t>17.23%</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3" w:line="360" w:lineRule="auto"/>
              <w:ind w:left="1"/>
              <w:rPr>
                <w:rFonts w:ascii="Times New Roman" w:hAnsi="Times New Roman" w:cs="Times New Roman"/>
                <w:sz w:val="18"/>
                <w:szCs w:val="18"/>
              </w:rPr>
            </w:pPr>
            <w:r>
              <w:rPr>
                <w:rFonts w:hint="eastAsia" w:ascii="Times New Roman" w:hAnsi="Times New Roman" w:cs="Times New Roman"/>
                <w:sz w:val="18"/>
                <w:szCs w:val="18"/>
                <w:lang w:eastAsia="zh-CN"/>
              </w:rPr>
              <w:t>60</w:t>
            </w:r>
            <w:r>
              <w:rPr>
                <w:rFonts w:ascii="Times New Roman" w:hAnsi="Times New Roman" w:cs="Times New Roman"/>
                <w:sz w:val="18"/>
                <w:szCs w:val="18"/>
                <w:lang w:eastAsia="zh-CN"/>
              </w:rPr>
              <w:t>℃</w:t>
            </w:r>
            <w:r>
              <w:rPr>
                <w:rFonts w:hint="eastAsia" w:ascii="Times New Roman" w:hAnsi="Times New Roman" w:cs="Times New Roman"/>
                <w:sz w:val="18"/>
                <w:szCs w:val="18"/>
                <w:lang w:eastAsia="zh-CN"/>
              </w:rPr>
              <w:t>鼓风烘干燥</w:t>
            </w:r>
          </w:p>
        </w:tc>
        <w:tc>
          <w:tcPr>
            <w:tcW w:w="850" w:type="dxa"/>
            <w:vAlign w:val="center"/>
          </w:tcPr>
          <w:p>
            <w:pPr>
              <w:pStyle w:val="17"/>
              <w:spacing w:before="4"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1.40%</w:t>
            </w:r>
          </w:p>
        </w:tc>
        <w:tc>
          <w:tcPr>
            <w:tcW w:w="1137" w:type="dxa"/>
            <w:vAlign w:val="center"/>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color w:val="000000"/>
                <w:sz w:val="18"/>
                <w:szCs w:val="18"/>
              </w:rPr>
              <w:t>10.20%</w:t>
            </w:r>
          </w:p>
        </w:tc>
        <w:tc>
          <w:tcPr>
            <w:tcW w:w="1137" w:type="dxa"/>
            <w:vAlign w:val="bottom"/>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eastAsia="等线"/>
                <w:color w:val="000000"/>
                <w:sz w:val="18"/>
                <w:szCs w:val="18"/>
              </w:rPr>
              <w:t>17.68%</w:t>
            </w:r>
          </w:p>
        </w:tc>
      </w:tr>
      <w:tr>
        <w:tblPrEx>
          <w:tblCellMar>
            <w:top w:w="0" w:type="dxa"/>
            <w:left w:w="0" w:type="dxa"/>
            <w:bottom w:w="0" w:type="dxa"/>
            <w:right w:w="0" w:type="dxa"/>
          </w:tblCellMar>
        </w:tblPrEx>
        <w:trPr>
          <w:trHeight w:val="328" w:hRule="atLeast"/>
          <w:jc w:val="center"/>
        </w:trPr>
        <w:tc>
          <w:tcPr>
            <w:tcW w:w="1336" w:type="dxa"/>
            <w:vAlign w:val="center"/>
          </w:tcPr>
          <w:p>
            <w:pPr>
              <w:pStyle w:val="17"/>
              <w:spacing w:before="14" w:line="360" w:lineRule="auto"/>
              <w:ind w:left="1"/>
              <w:rPr>
                <w:rFonts w:ascii="Times New Roman" w:hAnsi="Times New Roman" w:cs="Times New Roman"/>
                <w:sz w:val="18"/>
                <w:szCs w:val="18"/>
              </w:rPr>
            </w:pPr>
            <w:r>
              <w:rPr>
                <w:rFonts w:hint="eastAsia" w:ascii="Times New Roman" w:hAnsi="Times New Roman" w:cs="Times New Roman"/>
                <w:sz w:val="18"/>
                <w:szCs w:val="18"/>
                <w:lang w:eastAsia="zh-CN"/>
              </w:rPr>
              <w:t>65</w:t>
            </w:r>
            <w:r>
              <w:rPr>
                <w:rFonts w:ascii="Times New Roman" w:hAnsi="Times New Roman" w:cs="Times New Roman"/>
                <w:sz w:val="18"/>
                <w:szCs w:val="18"/>
                <w:lang w:eastAsia="zh-CN"/>
              </w:rPr>
              <w:t>℃</w:t>
            </w:r>
            <w:r>
              <w:rPr>
                <w:rFonts w:hint="eastAsia" w:ascii="Times New Roman" w:hAnsi="Times New Roman" w:cs="Times New Roman"/>
                <w:sz w:val="18"/>
                <w:szCs w:val="18"/>
                <w:lang w:eastAsia="zh-CN"/>
              </w:rPr>
              <w:t>鼓风烘干燥</w:t>
            </w:r>
          </w:p>
        </w:tc>
        <w:tc>
          <w:tcPr>
            <w:tcW w:w="850" w:type="dxa"/>
            <w:vAlign w:val="center"/>
          </w:tcPr>
          <w:p>
            <w:pPr>
              <w:pStyle w:val="17"/>
              <w:spacing w:before="5"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2.20%</w:t>
            </w:r>
          </w:p>
        </w:tc>
        <w:tc>
          <w:tcPr>
            <w:tcW w:w="1137" w:type="dxa"/>
            <w:vAlign w:val="center"/>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color w:val="000000"/>
                <w:sz w:val="18"/>
                <w:szCs w:val="18"/>
              </w:rPr>
              <w:t>10.90%</w:t>
            </w:r>
          </w:p>
        </w:tc>
        <w:tc>
          <w:tcPr>
            <w:tcW w:w="1137" w:type="dxa"/>
            <w:vAlign w:val="bottom"/>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eastAsia="等线"/>
                <w:color w:val="000000"/>
                <w:sz w:val="18"/>
                <w:szCs w:val="18"/>
              </w:rPr>
              <w:t>15.44%</w:t>
            </w:r>
          </w:p>
        </w:tc>
      </w:tr>
      <w:tr>
        <w:tblPrEx>
          <w:tblCellMar>
            <w:top w:w="0" w:type="dxa"/>
            <w:left w:w="0" w:type="dxa"/>
            <w:bottom w:w="0" w:type="dxa"/>
            <w:right w:w="0" w:type="dxa"/>
          </w:tblCellMar>
        </w:tblPrEx>
        <w:trPr>
          <w:trHeight w:val="438" w:hRule="atLeast"/>
          <w:jc w:val="center"/>
        </w:trPr>
        <w:tc>
          <w:tcPr>
            <w:tcW w:w="1336" w:type="dxa"/>
            <w:tcBorders>
              <w:bottom w:val="single" w:color="auto" w:sz="4" w:space="0"/>
            </w:tcBorders>
            <w:vAlign w:val="center"/>
          </w:tcPr>
          <w:p>
            <w:pPr>
              <w:pStyle w:val="17"/>
              <w:spacing w:before="14" w:line="360" w:lineRule="auto"/>
              <w:ind w:left="1"/>
              <w:rPr>
                <w:rFonts w:ascii="Times New Roman" w:hAnsi="Times New Roman" w:cs="Times New Roman"/>
                <w:sz w:val="18"/>
                <w:szCs w:val="18"/>
                <w:lang w:eastAsia="zh-CN"/>
              </w:rPr>
            </w:pPr>
            <w:r>
              <w:rPr>
                <w:rFonts w:hint="eastAsia" w:ascii="Times New Roman" w:hAnsi="Times New Roman" w:cs="Times New Roman"/>
                <w:sz w:val="18"/>
                <w:szCs w:val="18"/>
                <w:lang w:eastAsia="zh-CN"/>
              </w:rPr>
              <w:t>70</w:t>
            </w:r>
            <w:r>
              <w:rPr>
                <w:rFonts w:ascii="Times New Roman" w:hAnsi="Times New Roman" w:cs="Times New Roman"/>
                <w:sz w:val="18"/>
                <w:szCs w:val="18"/>
                <w:lang w:eastAsia="zh-CN"/>
              </w:rPr>
              <w:t>℃</w:t>
            </w:r>
            <w:r>
              <w:rPr>
                <w:rFonts w:hint="eastAsia" w:ascii="Times New Roman" w:hAnsi="Times New Roman" w:cs="Times New Roman"/>
                <w:sz w:val="18"/>
                <w:szCs w:val="18"/>
                <w:lang w:eastAsia="zh-CN"/>
              </w:rPr>
              <w:t>鼓风烘干燥</w:t>
            </w:r>
          </w:p>
        </w:tc>
        <w:tc>
          <w:tcPr>
            <w:tcW w:w="850" w:type="dxa"/>
            <w:tcBorders>
              <w:bottom w:val="single" w:color="auto" w:sz="4" w:space="0"/>
            </w:tcBorders>
            <w:vAlign w:val="center"/>
          </w:tcPr>
          <w:p>
            <w:pPr>
              <w:pStyle w:val="17"/>
              <w:spacing w:before="5" w:line="360" w:lineRule="auto"/>
              <w:ind w:left="84" w:right="29"/>
              <w:rPr>
                <w:rFonts w:ascii="Times New Roman" w:hAnsi="Times New Roman" w:cs="Times New Roman"/>
                <w:sz w:val="18"/>
                <w:szCs w:val="18"/>
                <w:lang w:eastAsia="zh-CN"/>
              </w:rPr>
            </w:pPr>
            <w:r>
              <w:rPr>
                <w:rFonts w:hint="eastAsia" w:ascii="Times New Roman" w:hAnsi="Times New Roman" w:cs="Times New Roman"/>
                <w:sz w:val="18"/>
                <w:szCs w:val="18"/>
                <w:lang w:eastAsia="zh-CN"/>
              </w:rPr>
              <w:t>2.00%</w:t>
            </w:r>
          </w:p>
        </w:tc>
        <w:tc>
          <w:tcPr>
            <w:tcW w:w="1137" w:type="dxa"/>
            <w:tcBorders>
              <w:bottom w:val="single" w:color="auto" w:sz="4" w:space="0"/>
            </w:tcBorders>
            <w:vAlign w:val="center"/>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color w:val="000000"/>
                <w:sz w:val="18"/>
                <w:szCs w:val="18"/>
              </w:rPr>
              <w:t>11.20%</w:t>
            </w:r>
          </w:p>
        </w:tc>
        <w:tc>
          <w:tcPr>
            <w:tcW w:w="1137" w:type="dxa"/>
            <w:tcBorders>
              <w:bottom w:val="single" w:color="auto" w:sz="4" w:space="0"/>
            </w:tcBorders>
            <w:vAlign w:val="bottom"/>
          </w:tcPr>
          <w:p>
            <w:pPr>
              <w:pStyle w:val="17"/>
              <w:spacing w:before="22" w:line="360" w:lineRule="auto"/>
              <w:ind w:left="84" w:right="29"/>
              <w:rPr>
                <w:rFonts w:ascii="Times New Roman" w:hAnsi="Times New Roman" w:cs="Times New Roman"/>
                <w:spacing w:val="7"/>
                <w:w w:val="103"/>
                <w:sz w:val="18"/>
                <w:szCs w:val="18"/>
              </w:rPr>
            </w:pPr>
            <w:r>
              <w:rPr>
                <w:rFonts w:ascii="Times New Roman" w:hAnsi="Times New Roman" w:eastAsia="等线"/>
                <w:color w:val="000000"/>
                <w:sz w:val="18"/>
                <w:szCs w:val="18"/>
              </w:rPr>
              <w:t>17.25%</w:t>
            </w:r>
          </w:p>
        </w:tc>
      </w:tr>
    </w:tbl>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采收石菖蒲进行产地初加工工艺研究，</w:t>
      </w:r>
      <w:r>
        <w:rPr>
          <w:rFonts w:ascii="Times New Roman" w:hAnsi="Times New Roman" w:eastAsia="宋体" w:cs="Times New Roman"/>
          <w:sz w:val="24"/>
          <w:szCs w:val="24"/>
        </w:rPr>
        <w:t>鲜药材采摘后作如下处理</w:t>
      </w:r>
      <w:r>
        <w:rPr>
          <w:rFonts w:hint="eastAsia" w:ascii="Times New Roman" w:hAnsi="Times New Roman" w:eastAsia="宋体" w:cs="Times New Roman"/>
          <w:sz w:val="24"/>
          <w:szCs w:val="24"/>
        </w:rPr>
        <w:t>：除去地上部分和泥沙，沥干水后，滚筒去须根，</w:t>
      </w:r>
      <w:r>
        <w:rPr>
          <w:rFonts w:ascii="Times New Roman" w:hAnsi="Times New Roman" w:eastAsia="宋体" w:cs="Times New Roman"/>
          <w:sz w:val="24"/>
          <w:szCs w:val="24"/>
        </w:rPr>
        <w:t>晒干</w:t>
      </w:r>
      <w:r>
        <w:rPr>
          <w:rFonts w:hint="eastAsia" w:ascii="Times New Roman" w:hAnsi="Times New Roman" w:eastAsia="宋体" w:cs="Times New Roman"/>
          <w:sz w:val="24"/>
          <w:szCs w:val="24"/>
        </w:rPr>
        <w:t>（</w:t>
      </w:r>
      <w:r>
        <w:rPr>
          <w:rFonts w:ascii="Times New Roman" w:hAnsi="Times New Roman" w:eastAsia="宋体" w:cs="Times New Roman"/>
          <w:sz w:val="24"/>
          <w:szCs w:val="24"/>
        </w:rPr>
        <w:t>薄平摊在太阳下直晒</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阴干</w:t>
      </w:r>
      <w:r>
        <w:rPr>
          <w:rFonts w:hint="eastAsia" w:ascii="Times New Roman" w:hAnsi="Times New Roman" w:eastAsia="宋体" w:cs="Times New Roman"/>
          <w:sz w:val="24"/>
          <w:szCs w:val="24"/>
        </w:rPr>
        <w:t>（</w:t>
      </w:r>
      <w:r>
        <w:rPr>
          <w:rFonts w:ascii="Times New Roman" w:hAnsi="Times New Roman" w:eastAsia="宋体" w:cs="Times New Roman"/>
          <w:sz w:val="24"/>
          <w:szCs w:val="24"/>
        </w:rPr>
        <w:t>室内干燥通风处晾干</w:t>
      </w:r>
      <w:r>
        <w:rPr>
          <w:rFonts w:hint="eastAsia" w:ascii="Times New Roman" w:hAnsi="Times New Roman" w:eastAsia="宋体" w:cs="Times New Roman"/>
          <w:sz w:val="24"/>
          <w:szCs w:val="24"/>
        </w:rPr>
        <w:t>）；鼓风干燥（</w:t>
      </w:r>
      <w:r>
        <w:rPr>
          <w:rFonts w:ascii="Times New Roman" w:hAnsi="Times New Roman" w:eastAsia="宋体" w:cs="Times New Roman"/>
          <w:sz w:val="24"/>
          <w:szCs w:val="24"/>
        </w:rPr>
        <w:t>平摊</w:t>
      </w:r>
      <w:r>
        <w:rPr>
          <w:rFonts w:hint="eastAsia" w:ascii="Times New Roman" w:hAnsi="Times New Roman" w:eastAsia="宋体" w:cs="Times New Roman"/>
          <w:sz w:val="24"/>
          <w:szCs w:val="24"/>
        </w:rPr>
        <w:t>在不同温度的鼓风干燥机中干燥）；冷冻干燥（冷冻24 h后冷冻干燥）</w:t>
      </w:r>
      <w:r>
        <w:rPr>
          <w:rFonts w:ascii="Times New Roman" w:hAnsi="Times New Roman" w:eastAsia="宋体" w:cs="Times New Roman"/>
          <w:sz w:val="24"/>
          <w:szCs w:val="24"/>
        </w:rPr>
        <w:t>。所得干燥样品制备供试品溶液，测定。结果如</w:t>
      </w:r>
      <w:r>
        <w:rPr>
          <w:rFonts w:hint="eastAsia" w:ascii="Times New Roman" w:hAnsi="Times New Roman" w:eastAsia="宋体" w:cs="Times New Roman"/>
          <w:sz w:val="24"/>
          <w:szCs w:val="24"/>
        </w:rPr>
        <w:t>表3</w:t>
      </w:r>
      <w:r>
        <w:rPr>
          <w:rFonts w:ascii="Times New Roman" w:hAnsi="Times New Roman" w:eastAsia="宋体" w:cs="Times New Roman"/>
          <w:sz w:val="24"/>
          <w:szCs w:val="24"/>
        </w:rPr>
        <w:t>所示</w:t>
      </w:r>
      <w:r>
        <w:rPr>
          <w:rFonts w:hint="eastAsia" w:ascii="Times New Roman" w:hAnsi="Times New Roman" w:eastAsia="宋体" w:cs="Times New Roman"/>
          <w:sz w:val="24"/>
          <w:szCs w:val="24"/>
        </w:rPr>
        <w:t>。</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所有干燥组精油的得率均符合药典标准（</w:t>
      </w:r>
      <w:r>
        <w:rPr>
          <w:rFonts w:hint="eastAsia" w:ascii="宋体" w:hAnsi="宋体" w:eastAsia="宋体" w:cs="Times New Roman"/>
          <w:sz w:val="24"/>
          <w:szCs w:val="24"/>
        </w:rPr>
        <w:t>≥</w:t>
      </w:r>
      <w:r>
        <w:rPr>
          <w:rFonts w:hint="eastAsia" w:ascii="Times New Roman" w:hAnsi="Times New Roman" w:eastAsia="宋体" w:cs="Times New Roman"/>
          <w:sz w:val="24"/>
          <w:szCs w:val="24"/>
        </w:rPr>
        <w:t>1%）。其中冻干组，阴干组，低温干燥组（40-60</w:t>
      </w:r>
      <w:r>
        <w:rPr>
          <w:rFonts w:ascii="Times New Roman" w:hAnsi="Times New Roman" w:cs="Times New Roman"/>
          <w:sz w:val="24"/>
          <w:szCs w:val="24"/>
        </w:rPr>
        <w:t>℃</w:t>
      </w:r>
      <w:r>
        <w:rPr>
          <w:rFonts w:hint="eastAsia" w:ascii="宋体" w:hAnsi="宋体" w:eastAsia="宋体" w:cs="Monaco"/>
          <w:sz w:val="24"/>
          <w:szCs w:val="24"/>
        </w:rPr>
        <w:t>鼓风</w:t>
      </w:r>
      <w:r>
        <w:rPr>
          <w:rFonts w:hint="eastAsia" w:ascii="Times New Roman" w:hAnsi="Times New Roman" w:eastAsia="宋体" w:cs="Times New Roman"/>
          <w:sz w:val="24"/>
          <w:szCs w:val="24"/>
        </w:rPr>
        <w:t>干燥）精油得率明显低于晒干组。而高温干燥组（65-70</w:t>
      </w:r>
      <w:r>
        <w:rPr>
          <w:rFonts w:ascii="Times New Roman" w:hAnsi="Times New Roman" w:cs="Times New Roman"/>
          <w:sz w:val="24"/>
          <w:szCs w:val="24"/>
        </w:rPr>
        <w:t>℃</w:t>
      </w:r>
      <w:r>
        <w:rPr>
          <w:rFonts w:hint="eastAsia" w:ascii="宋体" w:hAnsi="宋体" w:eastAsia="宋体" w:cs="Monaco"/>
          <w:sz w:val="24"/>
          <w:szCs w:val="24"/>
        </w:rPr>
        <w:t>鼓风</w:t>
      </w:r>
      <w:r>
        <w:rPr>
          <w:rFonts w:hint="eastAsia" w:ascii="Times New Roman" w:hAnsi="Times New Roman" w:eastAsia="宋体" w:cs="Times New Roman"/>
          <w:sz w:val="24"/>
          <w:szCs w:val="24"/>
        </w:rPr>
        <w:t>干燥）高于晒干组，且65</w:t>
      </w:r>
      <w:r>
        <w:rPr>
          <w:rFonts w:ascii="Times New Roman" w:hAnsi="Times New Roman" w:cs="Times New Roman"/>
          <w:sz w:val="24"/>
          <w:szCs w:val="24"/>
        </w:rPr>
        <w:t>℃</w:t>
      </w:r>
      <w:r>
        <w:rPr>
          <w:rFonts w:hint="eastAsia" w:ascii="宋体" w:hAnsi="宋体" w:eastAsia="宋体" w:cs="Monaco"/>
          <w:sz w:val="24"/>
          <w:szCs w:val="24"/>
        </w:rPr>
        <w:t>鼓风</w:t>
      </w:r>
      <w:r>
        <w:rPr>
          <w:rFonts w:hint="eastAsia" w:ascii="Times New Roman" w:hAnsi="Times New Roman" w:eastAsia="宋体" w:cs="Times New Roman"/>
          <w:sz w:val="24"/>
          <w:szCs w:val="24"/>
        </w:rPr>
        <w:t>干燥精油得率最高，为2.20%。鼓风干燥组以及传统工艺组结果表明，挥发油的得率与温度相关。</w:t>
      </w:r>
      <w:r>
        <w:rPr>
          <w:rFonts w:ascii="Times New Roman" w:hAnsi="Times New Roman" w:eastAsia="宋体" w:cs="Times New Roman"/>
          <w:sz w:val="24"/>
          <w:szCs w:val="24"/>
        </w:rPr>
        <w:t>结合实际生产，综合</w:t>
      </w:r>
      <w:r>
        <w:rPr>
          <w:rFonts w:hint="eastAsia" w:ascii="Times New Roman" w:hAnsi="Times New Roman" w:eastAsia="宋体" w:cs="Times New Roman"/>
          <w:sz w:val="24"/>
          <w:szCs w:val="24"/>
        </w:rPr>
        <w:t>考虑确定石菖蒲产地初加工方法为65</w:t>
      </w:r>
      <w:r>
        <w:rPr>
          <w:rFonts w:ascii="Times New Roman" w:hAnsi="Times New Roman" w:cs="Times New Roman"/>
          <w:sz w:val="24"/>
          <w:szCs w:val="24"/>
        </w:rPr>
        <w:t>℃</w:t>
      </w:r>
      <w:r>
        <w:rPr>
          <w:rFonts w:hint="eastAsia" w:ascii="宋体" w:hAnsi="宋体" w:eastAsia="宋体" w:cs="Monaco"/>
          <w:sz w:val="24"/>
          <w:szCs w:val="24"/>
        </w:rPr>
        <w:t>鼓风</w:t>
      </w:r>
      <w:r>
        <w:rPr>
          <w:rFonts w:hint="eastAsia" w:ascii="Times New Roman" w:hAnsi="Times New Roman" w:eastAsia="宋体" w:cs="Times New Roman"/>
          <w:sz w:val="24"/>
          <w:szCs w:val="24"/>
        </w:rPr>
        <w:t>干燥。</w:t>
      </w:r>
    </w:p>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630930" cy="2477770"/>
            <wp:effectExtent l="0" t="0" r="7620" b="0"/>
            <wp:docPr id="17" name="图片 16"/>
            <wp:cNvGraphicFramePr/>
            <a:graphic xmlns:a="http://schemas.openxmlformats.org/drawingml/2006/main">
              <a:graphicData uri="http://schemas.openxmlformats.org/drawingml/2006/picture">
                <pic:pic xmlns:pic="http://schemas.openxmlformats.org/drawingml/2006/picture">
                  <pic:nvPicPr>
                    <pic:cNvPr id="17" name="图片 16"/>
                    <pic:cNvPicPr/>
                  </pic:nvPicPr>
                  <pic:blipFill>
                    <a:blip r:embed="rId5"/>
                    <a:stretch>
                      <a:fillRect/>
                    </a:stretch>
                  </pic:blipFill>
                  <pic:spPr>
                    <a:xfrm>
                      <a:off x="0" y="0"/>
                      <a:ext cx="3631472" cy="2478341"/>
                    </a:xfrm>
                    <a:prstGeom prst="rect">
                      <a:avLst/>
                    </a:prstGeom>
                  </pic:spPr>
                </pic:pic>
              </a:graphicData>
            </a:graphic>
          </wp:inline>
        </w:drawing>
      </w:r>
    </w:p>
    <w:p>
      <w:pPr>
        <w:spacing w:line="360" w:lineRule="auto"/>
        <w:ind w:firstLine="480" w:firstLineChars="20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图2 石菖蒲主根不同干燥方式浸出物含量</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4" w:name="_Hlk53388993"/>
      <w:r>
        <w:rPr>
          <w:rFonts w:ascii="Times New Roman" w:hAnsi="Times New Roman" w:eastAsia="宋体" w:cs="Times New Roman"/>
          <w:b/>
          <w:bCs/>
          <w:sz w:val="30"/>
          <w:szCs w:val="30"/>
        </w:rPr>
        <w:t>五、产业化水平及预期的经济效果</w:t>
      </w:r>
    </w:p>
    <w:bookmarkEnd w:id="4"/>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湘产石菖蒲种植区主要分布常德市澧县西部偏北区，森林覆盖面积广，降雨量大，多山区丘陵地带。石菖蒲多种于俩山之间狭长的山谷平地，阴凉湿润，且土壤肥沃，利于石菖蒲的生长。种植历史悠久，最早记载于乾隆年间。如今湖南澧县石菖蒲种植区共囊括了常德市澧县境内10个镇，110个行政村，其中种植生产保护面积8300公顷，现有种植面积807公顷，现石菖蒲年产量2500吨。</w:t>
      </w:r>
    </w:p>
    <w:p>
      <w:pPr>
        <w:widowControl/>
        <w:autoSpaceDE w:val="0"/>
        <w:autoSpaceDN w:val="0"/>
        <w:adjustRightInd w:val="0"/>
        <w:spacing w:line="360" w:lineRule="auto"/>
        <w:ind w:firstLine="480" w:firstLineChars="200"/>
        <w:jc w:val="left"/>
        <w:rPr>
          <w:rFonts w:ascii="Times New Roman" w:hAnsi="Times New Roman" w:eastAsia="宋体" w:cs="Times"/>
          <w:kern w:val="0"/>
          <w:sz w:val="24"/>
          <w:szCs w:val="24"/>
        </w:rPr>
      </w:pPr>
      <w:r>
        <w:rPr>
          <w:rFonts w:hint="eastAsia" w:ascii="Times New Roman" w:hAnsi="Times New Roman" w:eastAsia="宋体" w:cs="Times"/>
          <w:kern w:val="0"/>
          <w:sz w:val="24"/>
          <w:szCs w:val="24"/>
        </w:rPr>
        <w:t>自</w:t>
      </w:r>
      <w:r>
        <w:rPr>
          <w:rFonts w:ascii="Times New Roman" w:hAnsi="Times New Roman" w:eastAsia="宋体" w:cs="Times"/>
          <w:kern w:val="0"/>
          <w:sz w:val="24"/>
          <w:szCs w:val="24"/>
        </w:rPr>
        <w:t>2019年以来</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澧县围绕</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湖南省中药材种植基地示范县</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和</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澧县石菖蒲</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区域公用品牌建设</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积极整合财政资金、专项资金、涉农 资金,优先向中药材种植基地实施政策倾斜</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帮助改善基础设施。澧县石菖蒲种植逐步向标准化、规模化发展,在业内形成了一定的影响力</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国家林下经济示范基地、省级道地药材种植示范基地、省级标准化种植示范区等纷纷落户澧县。截至2021年底,澧县中药材行业经营主体83家</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总种植面积达4167公顷,总产值8.37亿元</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其中石菖蒲种植面积667公顷。在湖南湘枳生物科技有限责任公司等企业的带动下</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澧县石菖蒲已形成</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科研基地+示范种植+产地趁鲜加工+订单种植</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的产业体系</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为促进农业增效、农民增收发挥了积极作用。目前</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澧县石菖蒲在内的中药材产业已成为澧县助力巩固脱贫 攻坚成果向乡村振兴有效衔接的重要抓手</w:t>
      </w:r>
      <w:r>
        <w:rPr>
          <w:rFonts w:hint="eastAsia" w:ascii="Times New Roman" w:hAnsi="Times New Roman" w:eastAsia="宋体" w:cs="Times"/>
          <w:kern w:val="0"/>
          <w:sz w:val="24"/>
          <w:szCs w:val="24"/>
        </w:rPr>
        <w:t>。</w:t>
      </w:r>
      <w:r>
        <w:rPr>
          <w:rFonts w:ascii="Times New Roman" w:hAnsi="Times New Roman" w:eastAsia="宋体" w:cs="Times"/>
          <w:kern w:val="0"/>
          <w:sz w:val="24"/>
          <w:szCs w:val="24"/>
        </w:rPr>
        <w:t xml:space="preserve"> </w:t>
      </w:r>
    </w:p>
    <w:p>
      <w:pPr>
        <w:pStyle w:val="13"/>
        <w:spacing w:line="360" w:lineRule="auto"/>
        <w:ind w:firstLine="480"/>
        <w:rPr>
          <w:rFonts w:ascii="Times New Roman" w:hAnsi="Times New Roman" w:cs="Times New Roman"/>
          <w:sz w:val="24"/>
          <w:szCs w:val="24"/>
        </w:rPr>
      </w:pPr>
      <w:r>
        <w:rPr>
          <w:rFonts w:ascii="Times New Roman" w:hAnsi="Times New Roman" w:cs="Times New Roman"/>
          <w:sz w:val="24"/>
          <w:szCs w:val="24"/>
        </w:rPr>
        <w:t>近年来，随着产业升级的逐步推进，湖南</w:t>
      </w:r>
      <w:r>
        <w:rPr>
          <w:rFonts w:hint="eastAsia" w:ascii="Times New Roman" w:hAnsi="Times New Roman" w:cs="Times New Roman"/>
          <w:sz w:val="24"/>
          <w:szCs w:val="24"/>
        </w:rPr>
        <w:t>石菖蒲</w:t>
      </w:r>
      <w:r>
        <w:rPr>
          <w:rFonts w:ascii="Times New Roman" w:hAnsi="Times New Roman" w:cs="Times New Roman"/>
          <w:sz w:val="24"/>
          <w:szCs w:val="24"/>
        </w:rPr>
        <w:t>产业由简单的原材料生产地，向着高质量优质生产和建立完备的产业下游升级。</w:t>
      </w:r>
      <w:r>
        <w:rPr>
          <w:rFonts w:hint="eastAsia" w:ascii="Times New Roman" w:hAnsi="Times New Roman" w:cs="Times New Roman"/>
          <w:sz w:val="24"/>
          <w:szCs w:val="24"/>
        </w:rPr>
        <w:t>目前，</w:t>
      </w:r>
      <w:r>
        <w:rPr>
          <w:rFonts w:ascii="Times New Roman" w:hAnsi="Times New Roman" w:cs="Times New Roman"/>
          <w:sz w:val="24"/>
          <w:szCs w:val="24"/>
        </w:rPr>
        <w:t>湖南省有关</w:t>
      </w:r>
      <w:r>
        <w:rPr>
          <w:rFonts w:hint="eastAsia" w:ascii="Times New Roman" w:hAnsi="Times New Roman" w:cs="Times New Roman"/>
          <w:sz w:val="24"/>
          <w:szCs w:val="24"/>
        </w:rPr>
        <w:t>石菖蒲</w:t>
      </w:r>
      <w:r>
        <w:rPr>
          <w:rFonts w:ascii="Times New Roman" w:hAnsi="Times New Roman" w:cs="Times New Roman"/>
          <w:sz w:val="24"/>
          <w:szCs w:val="24"/>
        </w:rPr>
        <w:t>的</w:t>
      </w:r>
      <w:r>
        <w:rPr>
          <w:rFonts w:hint="eastAsia" w:ascii="Times New Roman" w:hAnsi="Times New Roman" w:cs="Times New Roman"/>
          <w:sz w:val="24"/>
          <w:szCs w:val="24"/>
        </w:rPr>
        <w:t>标准</w:t>
      </w:r>
      <w:r>
        <w:rPr>
          <w:rFonts w:ascii="Times New Roman" w:hAnsi="Times New Roman" w:cs="Times New Roman"/>
          <w:sz w:val="24"/>
          <w:szCs w:val="24"/>
        </w:rPr>
        <w:t>，主要</w:t>
      </w:r>
      <w:r>
        <w:rPr>
          <w:rFonts w:hint="eastAsia" w:ascii="Times New Roman" w:hAnsi="Times New Roman" w:cs="Times New Roman"/>
          <w:sz w:val="24"/>
          <w:szCs w:val="24"/>
        </w:rPr>
        <w:t>为</w:t>
      </w:r>
      <w:r>
        <w:rPr>
          <w:rFonts w:ascii="Times New Roman" w:hAnsi="Times New Roman" w:cs="Times New Roman"/>
          <w:sz w:val="24"/>
          <w:szCs w:val="24"/>
        </w:rPr>
        <w:t>药用中成剂</w:t>
      </w:r>
      <w:r>
        <w:rPr>
          <w:rFonts w:hint="eastAsia" w:ascii="Times New Roman" w:hAnsi="Times New Roman" w:cs="Times New Roman"/>
          <w:sz w:val="24"/>
          <w:szCs w:val="24"/>
        </w:rPr>
        <w:t>，抗菌灭蚊虫熏香，香囊，产后抗菌抑菌洗液以及晕车贴等</w:t>
      </w:r>
      <w:r>
        <w:rPr>
          <w:rFonts w:ascii="Times New Roman" w:hAnsi="Times New Roman" w:cs="Times New Roman"/>
          <w:sz w:val="24"/>
          <w:szCs w:val="24"/>
        </w:rPr>
        <w:t>均为</w:t>
      </w:r>
      <w:r>
        <w:rPr>
          <w:rFonts w:hint="eastAsia" w:ascii="Times New Roman" w:hAnsi="Times New Roman" w:cs="Times New Roman"/>
          <w:sz w:val="24"/>
          <w:szCs w:val="24"/>
        </w:rPr>
        <w:t>石菖蒲</w:t>
      </w:r>
      <w:r>
        <w:rPr>
          <w:rFonts w:ascii="Times New Roman" w:hAnsi="Times New Roman" w:cs="Times New Roman"/>
          <w:sz w:val="24"/>
          <w:szCs w:val="24"/>
        </w:rPr>
        <w:t>深加工产物制备。湖南</w:t>
      </w:r>
      <w:r>
        <w:rPr>
          <w:rFonts w:hint="eastAsia" w:ascii="Times New Roman" w:hAnsi="Times New Roman" w:cs="Times New Roman"/>
          <w:sz w:val="24"/>
          <w:szCs w:val="24"/>
        </w:rPr>
        <w:t>石菖蒲</w:t>
      </w:r>
      <w:r>
        <w:rPr>
          <w:rFonts w:ascii="Times New Roman" w:hAnsi="Times New Roman" w:cs="Times New Roman"/>
          <w:sz w:val="24"/>
          <w:szCs w:val="24"/>
        </w:rPr>
        <w:t>产业的技术发展主要集中在了</w:t>
      </w:r>
      <w:r>
        <w:rPr>
          <w:rFonts w:hint="eastAsia" w:ascii="Times New Roman" w:hAnsi="Times New Roman" w:cs="Times New Roman"/>
          <w:sz w:val="24"/>
          <w:szCs w:val="24"/>
        </w:rPr>
        <w:t>石菖蒲的原料粗加工以及药用成分提取</w:t>
      </w:r>
      <w:r>
        <w:rPr>
          <w:rFonts w:ascii="Times New Roman" w:hAnsi="Times New Roman" w:cs="Times New Roman"/>
          <w:sz w:val="24"/>
          <w:szCs w:val="24"/>
        </w:rPr>
        <w:t>利用方面，深加工及其他产品的发展仍处在初级阶段。</w:t>
      </w:r>
    </w:p>
    <w:p>
      <w:pPr>
        <w:pStyle w:val="13"/>
        <w:widowControl w:val="0"/>
        <w:spacing w:line="360" w:lineRule="auto"/>
        <w:ind w:firstLine="480"/>
        <w:rPr>
          <w:rFonts w:ascii="Times New Roman" w:hAnsi="Times New Roman" w:cs="Times New Roman"/>
          <w:b/>
          <w:bCs/>
          <w:sz w:val="24"/>
          <w:szCs w:val="24"/>
        </w:rPr>
      </w:pPr>
      <w:r>
        <w:rPr>
          <w:rFonts w:cs="Times New Roman"/>
          <w:sz w:val="24"/>
          <w:szCs w:val="24"/>
        </w:rPr>
        <w:t>本标准制订后，将进一步促进</w:t>
      </w:r>
      <w:r>
        <w:rPr>
          <w:rFonts w:hint="eastAsia" w:cs="Times New Roman"/>
          <w:sz w:val="24"/>
          <w:szCs w:val="24"/>
        </w:rPr>
        <w:t>石菖蒲</w:t>
      </w:r>
      <w:r>
        <w:rPr>
          <w:rFonts w:cs="Times New Roman"/>
          <w:sz w:val="24"/>
          <w:szCs w:val="24"/>
        </w:rPr>
        <w:t>行业发展，</w:t>
      </w:r>
      <w:r>
        <w:rPr>
          <w:rFonts w:hint="eastAsia" w:cs="Times New Roman"/>
          <w:sz w:val="24"/>
          <w:szCs w:val="24"/>
        </w:rPr>
        <w:t>从源头上</w:t>
      </w:r>
      <w:r>
        <w:rPr>
          <w:rFonts w:cs="Times New Roman"/>
          <w:sz w:val="24"/>
          <w:szCs w:val="24"/>
        </w:rPr>
        <w:t>为广大消费者提供高品质</w:t>
      </w:r>
      <w:r>
        <w:rPr>
          <w:rFonts w:hint="eastAsia" w:cs="Times New Roman"/>
          <w:sz w:val="24"/>
          <w:szCs w:val="24"/>
        </w:rPr>
        <w:t>石菖蒲</w:t>
      </w:r>
      <w:r>
        <w:rPr>
          <w:rFonts w:cs="Times New Roman"/>
          <w:sz w:val="24"/>
          <w:szCs w:val="24"/>
        </w:rPr>
        <w:t>产品。</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5" w:name="_Hlk53389019"/>
      <w:r>
        <w:rPr>
          <w:rFonts w:ascii="Times New Roman" w:hAnsi="Times New Roman" w:eastAsia="宋体" w:cs="Times New Roman"/>
          <w:b/>
          <w:bCs/>
          <w:sz w:val="30"/>
          <w:szCs w:val="30"/>
        </w:rPr>
        <w:t>六、采用国内外标准的程度及水平</w:t>
      </w:r>
      <w:bookmarkEnd w:id="5"/>
    </w:p>
    <w:p>
      <w:pPr>
        <w:spacing w:line="360" w:lineRule="auto"/>
        <w:ind w:firstLine="540" w:firstLineChars="225"/>
        <w:rPr>
          <w:rFonts w:ascii="Times New Roman" w:hAnsi="Times New Roman" w:eastAsia="宋体" w:cs="Times New Roman"/>
          <w:sz w:val="24"/>
          <w:szCs w:val="24"/>
        </w:rPr>
      </w:pPr>
      <w:r>
        <w:rPr>
          <w:rFonts w:ascii="Times New Roman" w:hAnsi="Times New Roman" w:eastAsia="宋体" w:cs="Times New Roman"/>
          <w:sz w:val="24"/>
          <w:szCs w:val="24"/>
        </w:rPr>
        <w:t>关于</w:t>
      </w:r>
      <w:r>
        <w:rPr>
          <w:rFonts w:hint="eastAsia" w:ascii="Times New Roman" w:hAnsi="Times New Roman" w:eastAsia="宋体" w:cs="Times New Roman"/>
          <w:sz w:val="24"/>
          <w:szCs w:val="24"/>
        </w:rPr>
        <w:t>石菖蒲</w:t>
      </w:r>
      <w:r>
        <w:rPr>
          <w:rFonts w:ascii="Times New Roman" w:hAnsi="Times New Roman" w:eastAsia="宋体" w:cs="Times New Roman"/>
          <w:sz w:val="24"/>
          <w:szCs w:val="24"/>
        </w:rPr>
        <w:t>的采收、初加工、贮运，目前国内现有的标准有如下：</w:t>
      </w:r>
    </w:p>
    <w:p>
      <w:pPr>
        <w:numPr>
          <w:ilvl w:val="0"/>
          <w:numId w:val="2"/>
        </w:num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《中国药典》</w:t>
      </w:r>
    </w:p>
    <w:p>
      <w:pPr>
        <w:numPr>
          <w:ilvl w:val="0"/>
          <w:numId w:val="2"/>
        </w:numPr>
        <w:spacing w:line="360" w:lineRule="auto"/>
        <w:ind w:firstLine="540"/>
        <w:rPr>
          <w:rFonts w:ascii="Times New Roman" w:hAnsi="Times New Roman" w:eastAsia="宋体" w:cs="Times New Roman"/>
          <w:sz w:val="24"/>
          <w:szCs w:val="24"/>
        </w:rPr>
      </w:pPr>
      <w:r>
        <w:rPr>
          <w:rFonts w:hint="eastAsia" w:ascii="Times New Roman" w:hAnsi="Times New Roman" w:eastAsia="宋体" w:cs="Times New Roman"/>
          <w:sz w:val="24"/>
          <w:szCs w:val="24"/>
        </w:rPr>
        <w:t>《石菖蒲趁鲜切制加工技术规范》，湖南省中药材产业协会团体标准，</w:t>
      </w:r>
      <w:r>
        <w:rPr>
          <w:rFonts w:hint="eastAsia" w:ascii="微软雅黑" w:hAnsi="微软雅黑" w:eastAsia="微软雅黑"/>
          <w:color w:val="424849"/>
          <w:szCs w:val="21"/>
          <w:shd w:val="clear" w:color="auto" w:fill="FFFFFF"/>
        </w:rPr>
        <w:t>T/XZYC 0019—2021；</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（3）《中药材商品规格等级标准汇编》，中华中医药学会团体标准，</w:t>
      </w:r>
      <w:r>
        <w:rPr>
          <w:rFonts w:ascii="Times New Roman" w:hAnsi="Times New Roman" w:eastAsia="宋体" w:cs="Times New Roman"/>
          <w:sz w:val="24"/>
          <w:szCs w:val="24"/>
        </w:rPr>
        <w:t>T/CACM 1021.204—2018</w:t>
      </w:r>
      <w:r>
        <w:rPr>
          <w:rFonts w:hint="eastAsia" w:ascii="Times New Roman" w:hAnsi="Times New Roman" w:eastAsia="宋体" w:cs="Times New Roman"/>
          <w:sz w:val="24"/>
          <w:szCs w:val="24"/>
        </w:rPr>
        <w:t>。</w:t>
      </w:r>
    </w:p>
    <w:p>
      <w:pPr>
        <w:spacing w:line="360" w:lineRule="auto"/>
        <w:ind w:firstLine="540" w:firstLineChars="225"/>
        <w:rPr>
          <w:rFonts w:ascii="Times New Roman" w:hAnsi="Times New Roman" w:eastAsia="宋体" w:cs="Times New Roman"/>
          <w:sz w:val="24"/>
          <w:szCs w:val="24"/>
        </w:rPr>
      </w:pPr>
      <w:r>
        <w:rPr>
          <w:rFonts w:ascii="Times New Roman" w:hAnsi="Times New Roman" w:eastAsia="宋体" w:cs="Times New Roman"/>
          <w:sz w:val="24"/>
          <w:szCs w:val="24"/>
        </w:rPr>
        <w:t>石菖蒲的采收与产地初加工未见国家标准</w:t>
      </w:r>
      <w:r>
        <w:rPr>
          <w:rFonts w:hint="eastAsia" w:ascii="Times New Roman" w:hAnsi="Times New Roman" w:eastAsia="宋体" w:cs="Times New Roman"/>
          <w:sz w:val="24"/>
          <w:szCs w:val="24"/>
        </w:rPr>
        <w:t>、</w:t>
      </w:r>
      <w:r>
        <w:rPr>
          <w:rFonts w:ascii="Times New Roman" w:hAnsi="Times New Roman" w:eastAsia="宋体" w:cs="Times New Roman"/>
          <w:sz w:val="24"/>
          <w:szCs w:val="24"/>
        </w:rPr>
        <w:t>地方标准的发布</w:t>
      </w:r>
      <w:r>
        <w:rPr>
          <w:rFonts w:hint="eastAsia" w:ascii="Times New Roman" w:hAnsi="Times New Roman" w:eastAsia="宋体" w:cs="Times New Roman"/>
          <w:sz w:val="24"/>
          <w:szCs w:val="24"/>
        </w:rPr>
        <w:t>，</w:t>
      </w:r>
      <w:r>
        <w:rPr>
          <w:rFonts w:ascii="Times New Roman" w:hAnsi="Times New Roman" w:eastAsia="宋体" w:cs="Times New Roman"/>
          <w:sz w:val="24"/>
          <w:szCs w:val="24"/>
        </w:rPr>
        <w:t>本标准的制定参考了以上涉及</w:t>
      </w:r>
      <w:r>
        <w:rPr>
          <w:rFonts w:hint="eastAsia" w:ascii="Times New Roman" w:hAnsi="Times New Roman" w:eastAsia="宋体" w:cs="Times New Roman"/>
          <w:sz w:val="24"/>
          <w:szCs w:val="24"/>
        </w:rPr>
        <w:t>石菖蒲</w:t>
      </w:r>
      <w:r>
        <w:rPr>
          <w:rFonts w:ascii="Times New Roman" w:hAnsi="Times New Roman" w:eastAsia="宋体" w:cs="Times New Roman"/>
          <w:sz w:val="24"/>
          <w:szCs w:val="24"/>
        </w:rPr>
        <w:t>采收和初加工的</w:t>
      </w:r>
      <w:r>
        <w:rPr>
          <w:rFonts w:hint="eastAsia" w:ascii="Times New Roman" w:hAnsi="Times New Roman" w:eastAsia="宋体" w:cs="Times New Roman"/>
          <w:sz w:val="24"/>
          <w:szCs w:val="24"/>
        </w:rPr>
        <w:t>药典</w:t>
      </w:r>
      <w:r>
        <w:rPr>
          <w:rFonts w:ascii="Times New Roman" w:hAnsi="Times New Roman" w:eastAsia="宋体" w:cs="Times New Roman"/>
          <w:sz w:val="24"/>
          <w:szCs w:val="24"/>
        </w:rPr>
        <w:t>和团体标准，及《药品生产质量管理规范（2016年修订）》附录——中药饮片的要求，结合</w:t>
      </w:r>
      <w:r>
        <w:rPr>
          <w:rFonts w:hint="eastAsia" w:ascii="Times New Roman" w:hAnsi="Times New Roman" w:eastAsia="宋体" w:cs="Times New Roman"/>
          <w:sz w:val="24"/>
          <w:szCs w:val="24"/>
        </w:rPr>
        <w:t>产地初</w:t>
      </w:r>
      <w:r>
        <w:rPr>
          <w:rFonts w:ascii="Times New Roman" w:hAnsi="Times New Roman" w:eastAsia="宋体" w:cs="Times New Roman"/>
          <w:sz w:val="24"/>
          <w:szCs w:val="24"/>
        </w:rPr>
        <w:t>加工实践及项目组实验研究结果而定。</w:t>
      </w:r>
    </w:p>
    <w:p>
      <w:pPr>
        <w:spacing w:before="156" w:beforeLines="50" w:after="156" w:afterLines="50" w:line="360" w:lineRule="auto"/>
        <w:ind w:firstLine="602" w:firstLineChars="200"/>
        <w:rPr>
          <w:rFonts w:ascii="Times New Roman" w:hAnsi="Times New Roman" w:eastAsia="宋体" w:cs="Times New Roman"/>
          <w:b/>
          <w:bCs/>
          <w:sz w:val="30"/>
          <w:szCs w:val="30"/>
        </w:rPr>
      </w:pPr>
      <w:bookmarkStart w:id="6" w:name="_Hlk53389089"/>
      <w:r>
        <w:rPr>
          <w:rFonts w:hint="eastAsia" w:ascii="Times New Roman" w:hAnsi="Times New Roman" w:eastAsia="宋体" w:cs="Times New Roman"/>
          <w:b/>
          <w:bCs/>
          <w:sz w:val="30"/>
          <w:szCs w:val="30"/>
        </w:rPr>
        <w:t>七</w:t>
      </w:r>
      <w:r>
        <w:rPr>
          <w:rFonts w:ascii="Times New Roman" w:hAnsi="Times New Roman" w:eastAsia="宋体" w:cs="Times New Roman"/>
          <w:b/>
          <w:bCs/>
          <w:sz w:val="30"/>
          <w:szCs w:val="30"/>
        </w:rPr>
        <w:t>、重大分歧意见的处理经过和依据</w:t>
      </w:r>
    </w:p>
    <w:p>
      <w:pPr>
        <w:spacing w:line="360" w:lineRule="auto"/>
        <w:ind w:firstLine="480" w:firstLineChars="200"/>
        <w:rPr>
          <w:rFonts w:ascii="宋体" w:hAnsi="宋体" w:eastAsia="宋体"/>
          <w:sz w:val="24"/>
          <w:szCs w:val="24"/>
        </w:rPr>
      </w:pPr>
      <w:r>
        <w:rPr>
          <w:rFonts w:ascii="宋体" w:hAnsi="宋体" w:eastAsia="宋体"/>
          <w:sz w:val="24"/>
          <w:szCs w:val="24"/>
        </w:rPr>
        <w:t>本标准在编写过程中没有重大意见分歧。</w:t>
      </w:r>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八</w:t>
      </w:r>
      <w:r>
        <w:rPr>
          <w:rFonts w:ascii="Times New Roman" w:hAnsi="Times New Roman" w:eastAsia="宋体" w:cs="Times New Roman"/>
          <w:b/>
          <w:bCs/>
          <w:sz w:val="30"/>
          <w:szCs w:val="30"/>
        </w:rPr>
        <w:t>、</w:t>
      </w:r>
      <w:r>
        <w:rPr>
          <w:rFonts w:hint="eastAsia" w:ascii="Times New Roman" w:hAnsi="Times New Roman" w:eastAsia="宋体" w:cs="Times New Roman"/>
          <w:b/>
          <w:bCs/>
          <w:sz w:val="30"/>
          <w:szCs w:val="30"/>
        </w:rPr>
        <w:t>作为推荐性标准的建议</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建议《石菖蒲</w:t>
      </w:r>
      <w:r>
        <w:rPr>
          <w:rFonts w:ascii="宋体" w:hAnsi="宋体" w:eastAsia="宋体"/>
          <w:sz w:val="24"/>
          <w:szCs w:val="24"/>
        </w:rPr>
        <w:t>采收</w:t>
      </w:r>
      <w:r>
        <w:rPr>
          <w:rFonts w:hint="eastAsia" w:ascii="宋体" w:hAnsi="宋体" w:eastAsia="宋体"/>
          <w:sz w:val="24"/>
          <w:szCs w:val="24"/>
        </w:rPr>
        <w:t>与产地</w:t>
      </w:r>
      <w:r>
        <w:rPr>
          <w:rFonts w:ascii="宋体" w:hAnsi="宋体" w:eastAsia="宋体"/>
          <w:sz w:val="24"/>
          <w:szCs w:val="24"/>
        </w:rPr>
        <w:t>初加工技术规范</w:t>
      </w:r>
      <w:r>
        <w:rPr>
          <w:rFonts w:hint="eastAsia" w:ascii="宋体" w:hAnsi="宋体" w:eastAsia="宋体"/>
          <w:sz w:val="24"/>
          <w:szCs w:val="24"/>
        </w:rPr>
        <w:t>》作为推荐性标准发布实施。</w:t>
      </w:r>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九、贯彻标准的措施建议</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待本标准发布实施后，建议归口单位组织相关石菖蒲生产企业和单位，以及下一级管理单位组织培训，加强标准的宣传推广，定期监督检查和评价。</w:t>
      </w:r>
    </w:p>
    <w:p>
      <w:pPr>
        <w:spacing w:before="156" w:beforeLines="50" w:after="156" w:afterLines="50" w:line="360" w:lineRule="auto"/>
        <w:ind w:firstLine="602" w:firstLineChars="200"/>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十</w:t>
      </w:r>
      <w:r>
        <w:rPr>
          <w:rFonts w:ascii="Times New Roman" w:hAnsi="Times New Roman" w:eastAsia="宋体" w:cs="Times New Roman"/>
          <w:b/>
          <w:bCs/>
          <w:sz w:val="30"/>
          <w:szCs w:val="30"/>
        </w:rPr>
        <w:t>、其它应予说明的事项</w:t>
      </w:r>
    </w:p>
    <w:p>
      <w:pPr>
        <w:spacing w:line="360" w:lineRule="auto"/>
        <w:ind w:firstLine="540" w:firstLineChars="225"/>
        <w:rPr>
          <w:rFonts w:ascii="Times New Roman" w:hAnsi="Times New Roman" w:eastAsia="宋体" w:cs="Times New Roman"/>
          <w:sz w:val="24"/>
          <w:szCs w:val="24"/>
        </w:rPr>
      </w:pPr>
      <w:r>
        <w:rPr>
          <w:rFonts w:hint="eastAsia" w:ascii="Times New Roman" w:hAnsi="Times New Roman" w:eastAsia="宋体" w:cs="Times New Roman"/>
          <w:sz w:val="24"/>
          <w:szCs w:val="24"/>
        </w:rPr>
        <w:t>通过本规程的制定及推广应用，使湖南省石菖蒲采收与初加工生产有规可循，确保栀子药材的质量，为石菖蒲规范化生产提供技术支撑，其经济、社会和生态效益显著；促进栀子产业健康发展。</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参考文献</w:t>
      </w:r>
      <w:bookmarkEnd w:id="6"/>
    </w:p>
    <w:p>
      <w:pPr>
        <w:tabs>
          <w:tab w:val="left" w:pos="504"/>
        </w:tabs>
        <w:autoSpaceDE w:val="0"/>
        <w:autoSpaceDN w:val="0"/>
        <w:spacing w:line="440" w:lineRule="exact"/>
        <w:ind w:left="480" w:hanging="480" w:hanging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w:t>
      </w:r>
      <w:r>
        <w:rPr>
          <w:rFonts w:ascii="Times New Roman" w:hAnsi="Times New Roman" w:eastAsia="宋体" w:cs="Times New Roman"/>
          <w:kern w:val="0"/>
          <w:sz w:val="24"/>
          <w:szCs w:val="24"/>
        </w:rPr>
        <w:t>李广志，陈峰，沈连钢</w:t>
      </w:r>
      <w:r>
        <w:rPr>
          <w:rFonts w:hint="eastAsia" w:ascii="Times New Roman" w:hAnsi="Times New Roman" w:eastAsia="宋体" w:cs="Times New Roman"/>
          <w:kern w:val="0"/>
          <w:sz w:val="24"/>
          <w:szCs w:val="24"/>
        </w:rPr>
        <w:t>，等</w:t>
      </w:r>
      <w:r>
        <w:rPr>
          <w:rFonts w:ascii="Times New Roman" w:hAnsi="Times New Roman" w:eastAsia="宋体" w:cs="Times New Roman"/>
          <w:kern w:val="0"/>
          <w:sz w:val="24"/>
          <w:szCs w:val="24"/>
        </w:rPr>
        <w:t>.石菖蒲根茎的化学成分研究[J].中草药，2013，44(07):808-811.</w:t>
      </w:r>
    </w:p>
    <w:p>
      <w:pPr>
        <w:tabs>
          <w:tab w:val="left" w:pos="504"/>
        </w:tabs>
        <w:autoSpaceDE w:val="0"/>
        <w:autoSpaceDN w:val="0"/>
        <w:spacing w:line="440" w:lineRule="exact"/>
        <w:ind w:left="480" w:hanging="480" w:hanging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 杨博.</w:t>
      </w:r>
      <w:r>
        <w:rPr>
          <w:rFonts w:hint="eastAsia"/>
        </w:rPr>
        <w:t xml:space="preserve"> </w:t>
      </w:r>
      <w:r>
        <w:rPr>
          <w:rFonts w:hint="eastAsia" w:ascii="Times New Roman" w:hAnsi="Times New Roman" w:eastAsia="宋体" w:cs="Times New Roman"/>
          <w:kern w:val="0"/>
          <w:sz w:val="24"/>
          <w:szCs w:val="24"/>
        </w:rPr>
        <w:t xml:space="preserve">石菖蒲采收期与产地初加工工艺研究[D],湖南农业大学，2022. </w:t>
      </w: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rPr>
          <w:rFonts w:ascii="Times New Roman" w:hAnsi="Times New Roman" w:eastAsia="宋体" w:cs="Times New Roman"/>
          <w:b/>
          <w:bCs/>
          <w:szCs w:val="21"/>
        </w:rPr>
      </w:pPr>
    </w:p>
    <w:p>
      <w:pPr>
        <w:spacing w:line="360" w:lineRule="auto"/>
        <w:ind w:right="300" w:firstLine="240" w:firstLineChars="100"/>
        <w:jc w:val="right"/>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石菖蒲</w:t>
      </w:r>
      <w:r>
        <w:rPr>
          <w:rFonts w:ascii="Times New Roman" w:hAnsi="Times New Roman" w:eastAsia="宋体" w:cs="Times New Roman"/>
          <w:sz w:val="24"/>
          <w:szCs w:val="24"/>
        </w:rPr>
        <w:t>采收</w:t>
      </w:r>
      <w:r>
        <w:rPr>
          <w:rFonts w:hint="eastAsia" w:ascii="Times New Roman" w:hAnsi="Times New Roman" w:eastAsia="宋体" w:cs="Times New Roman"/>
          <w:sz w:val="24"/>
          <w:szCs w:val="24"/>
        </w:rPr>
        <w:t>与</w:t>
      </w:r>
      <w:r>
        <w:rPr>
          <w:rFonts w:ascii="Times New Roman" w:hAnsi="Times New Roman" w:eastAsia="宋体" w:cs="Times New Roman"/>
          <w:sz w:val="24"/>
          <w:szCs w:val="24"/>
        </w:rPr>
        <w:t>初加工技术</w:t>
      </w:r>
      <w:r>
        <w:rPr>
          <w:rFonts w:hint="eastAsia" w:ascii="Times New Roman" w:hAnsi="Times New Roman" w:eastAsia="宋体" w:cs="Times New Roman"/>
          <w:sz w:val="24"/>
          <w:szCs w:val="24"/>
        </w:rPr>
        <w:t>规程</w:t>
      </w:r>
      <w:r>
        <w:rPr>
          <w:rFonts w:ascii="Times New Roman" w:hAnsi="Times New Roman" w:eastAsia="宋体" w:cs="Times New Roman"/>
          <w:sz w:val="24"/>
          <w:szCs w:val="24"/>
        </w:rPr>
        <w:t>》编制小组</w:t>
      </w:r>
    </w:p>
    <w:p>
      <w:pPr>
        <w:spacing w:line="360" w:lineRule="auto"/>
        <w:ind w:right="300" w:firstLine="240" w:firstLineChars="100"/>
        <w:jc w:val="right"/>
        <w:rPr>
          <w:rFonts w:ascii="Times New Roman" w:hAnsi="Times New Roman" w:eastAsia="宋体" w:cs="Times New Roman"/>
        </w:rPr>
      </w:pPr>
      <w:r>
        <w:rPr>
          <w:rFonts w:ascii="Times New Roman" w:hAnsi="Times New Roman" w:eastAsia="宋体" w:cs="Times New Roman"/>
          <w:sz w:val="24"/>
          <w:szCs w:val="24"/>
        </w:rPr>
        <w:t>202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9</w:t>
      </w:r>
      <w:r>
        <w:rPr>
          <w:rFonts w:ascii="Times New Roman" w:hAnsi="Times New Roman" w:eastAsia="宋体" w:cs="Times New Roman"/>
          <w:sz w:val="24"/>
          <w:szCs w:val="24"/>
        </w:rPr>
        <w:t>月1</w:t>
      </w:r>
      <w:r>
        <w:rPr>
          <w:rFonts w:hint="eastAsia" w:ascii="Times New Roman" w:hAnsi="Times New Roman" w:eastAsia="宋体" w:cs="Times New Roman"/>
          <w:sz w:val="24"/>
          <w:szCs w:val="24"/>
        </w:rPr>
        <w:t>0</w:t>
      </w:r>
      <w:r>
        <w:rPr>
          <w:rFonts w:ascii="Times New Roman" w:hAnsi="Times New Roman" w:eastAsia="宋体" w:cs="Times New Roman"/>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Courier">
    <w:altName w:val="Liberation Mono"/>
    <w:panose1 w:val="02060409020205020404"/>
    <w:charset w:val="00"/>
    <w:family w:val="modern"/>
    <w:pitch w:val="default"/>
    <w:sig w:usb0="00000000" w:usb1="00000000" w:usb2="00000000" w:usb3="00000000" w:csb0="00000093" w:csb1="00000000"/>
  </w:font>
  <w:font w:name="E-BZ+ZHIG8a-1">
    <w:altName w:val="汉仪仿宋S"/>
    <w:panose1 w:val="00000000000000000000"/>
    <w:charset w:val="00"/>
    <w:family w:val="roman"/>
    <w:pitch w:val="default"/>
    <w:sig w:usb0="00000000" w:usb1="00000000" w:usb2="00000000" w:usb3="00000000" w:csb0="00000000" w:csb1="00000000"/>
  </w:font>
  <w:font w:name="Monaco">
    <w:altName w:val="汉仪叶叶相思体简"/>
    <w:panose1 w:val="00000000000000000000"/>
    <w:charset w:val="00"/>
    <w:family w:val="auto"/>
    <w:pitch w:val="default"/>
    <w:sig w:usb0="00000000" w:usb1="00000000" w:usb2="00000000" w:usb3="00000000" w:csb0="00000001" w:csb1="00000000"/>
  </w:font>
  <w:font w:name="Times">
    <w:altName w:val="Nimbus Roman No9 L"/>
    <w:panose1 w:val="02020603050405020304"/>
    <w:charset w:val="00"/>
    <w:family w:val="roman"/>
    <w:pitch w:val="default"/>
    <w:sig w:usb0="00000000" w:usb1="00000000" w:usb2="00000000" w:usb3="00000000" w:csb0="00000093" w:csb1="00000000"/>
  </w:font>
  <w:font w:name="微软雅黑">
    <w:altName w:val="黑体"/>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Liberation Mono">
    <w:panose1 w:val="02070409020205020404"/>
    <w:charset w:val="00"/>
    <w:family w:val="auto"/>
    <w:pitch w:val="default"/>
    <w:sig w:usb0="A00002AF" w:usb1="400078FB" w:usb2="00000000" w:usb3="00000000" w:csb0="6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AF795E"/>
    <w:multiLevelType w:val="singleLevel"/>
    <w:tmpl w:val="AFAF795E"/>
    <w:lvl w:ilvl="0" w:tentative="0">
      <w:start w:val="1"/>
      <w:numFmt w:val="decimal"/>
      <w:suff w:val="nothing"/>
      <w:lvlText w:val="（%1）"/>
      <w:lvlJc w:val="left"/>
    </w:lvl>
  </w:abstractNum>
  <w:abstractNum w:abstractNumId="1">
    <w:nsid w:val="6CEA2025"/>
    <w:multiLevelType w:val="multilevel"/>
    <w:tmpl w:val="6CEA2025"/>
    <w:lvl w:ilvl="0" w:tentative="0">
      <w:start w:val="1"/>
      <w:numFmt w:val="none"/>
      <w:pStyle w:val="28"/>
      <w:suff w:val="nothing"/>
      <w:lvlText w:val="%1"/>
      <w:lvlJc w:val="left"/>
      <w:pPr>
        <w:ind w:left="0" w:firstLine="0"/>
      </w:pPr>
      <w:rPr>
        <w:rFonts w:hint="eastAsia"/>
      </w:rPr>
    </w:lvl>
    <w:lvl w:ilvl="1" w:tentative="0">
      <w:start w:val="1"/>
      <w:numFmt w:val="decimal"/>
      <w:pStyle w:val="26"/>
      <w:suff w:val="nothing"/>
      <w:lvlText w:val="%1%2　"/>
      <w:lvlJc w:val="left"/>
      <w:pPr>
        <w:ind w:left="0" w:firstLine="0"/>
      </w:pPr>
      <w:rPr>
        <w:rFonts w:hint="eastAsia" w:ascii="黑体" w:eastAsia="黑体"/>
        <w:b w:val="0"/>
        <w:i w:val="0"/>
        <w:sz w:val="21"/>
      </w:rPr>
    </w:lvl>
    <w:lvl w:ilvl="2" w:tentative="0">
      <w:start w:val="1"/>
      <w:numFmt w:val="decimal"/>
      <w:pStyle w:val="2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22"/>
      <w:suff w:val="nothing"/>
      <w:lvlText w:val="%1%2.%3.%4　"/>
      <w:lvlJc w:val="left"/>
      <w:pPr>
        <w:ind w:left="1135" w:firstLine="0"/>
      </w:pPr>
      <w:rPr>
        <w:rFonts w:hint="eastAsia" w:ascii="黑体" w:eastAsia="黑体"/>
        <w:b w:val="0"/>
        <w:i w:val="0"/>
        <w:sz w:val="21"/>
      </w:rPr>
    </w:lvl>
    <w:lvl w:ilvl="4" w:tentative="0">
      <w:start w:val="1"/>
      <w:numFmt w:val="decimal"/>
      <w:pStyle w:val="23"/>
      <w:suff w:val="nothing"/>
      <w:lvlText w:val="%1%2.%3.%4.%5　"/>
      <w:lvlJc w:val="left"/>
      <w:pPr>
        <w:ind w:left="0" w:firstLine="0"/>
      </w:pPr>
      <w:rPr>
        <w:rFonts w:hint="eastAsia" w:ascii="黑体" w:eastAsia="黑体"/>
        <w:b w:val="0"/>
        <w:i w:val="0"/>
        <w:sz w:val="21"/>
      </w:rPr>
    </w:lvl>
    <w:lvl w:ilvl="5" w:tentative="0">
      <w:start w:val="1"/>
      <w:numFmt w:val="decimal"/>
      <w:pStyle w:val="24"/>
      <w:suff w:val="nothing"/>
      <w:lvlText w:val="%1%2.%3.%4.%5.%6　"/>
      <w:lvlJc w:val="left"/>
      <w:pPr>
        <w:ind w:left="0" w:firstLine="0"/>
      </w:pPr>
      <w:rPr>
        <w:rFonts w:hint="eastAsia" w:ascii="黑体" w:eastAsia="黑体"/>
        <w:b w:val="0"/>
        <w:i w:val="0"/>
        <w:sz w:val="21"/>
      </w:rPr>
    </w:lvl>
    <w:lvl w:ilvl="6" w:tentative="0">
      <w:start w:val="1"/>
      <w:numFmt w:val="decimal"/>
      <w:pStyle w:val="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712B41"/>
    <w:rsid w:val="00004E17"/>
    <w:rsid w:val="00013187"/>
    <w:rsid w:val="0001788C"/>
    <w:rsid w:val="000205B5"/>
    <w:rsid w:val="00027FE7"/>
    <w:rsid w:val="00033D0A"/>
    <w:rsid w:val="00051740"/>
    <w:rsid w:val="00052D40"/>
    <w:rsid w:val="0005466F"/>
    <w:rsid w:val="00093551"/>
    <w:rsid w:val="000F02C1"/>
    <w:rsid w:val="00112F5A"/>
    <w:rsid w:val="00156E84"/>
    <w:rsid w:val="001A26AB"/>
    <w:rsid w:val="001C6334"/>
    <w:rsid w:val="001E31A9"/>
    <w:rsid w:val="00213395"/>
    <w:rsid w:val="00232164"/>
    <w:rsid w:val="00260510"/>
    <w:rsid w:val="0026081A"/>
    <w:rsid w:val="002636C4"/>
    <w:rsid w:val="00280E78"/>
    <w:rsid w:val="00293025"/>
    <w:rsid w:val="002B2326"/>
    <w:rsid w:val="002C7D49"/>
    <w:rsid w:val="002D68D6"/>
    <w:rsid w:val="002E3025"/>
    <w:rsid w:val="002F5C9C"/>
    <w:rsid w:val="003029F1"/>
    <w:rsid w:val="0032163F"/>
    <w:rsid w:val="00340E10"/>
    <w:rsid w:val="00356EF8"/>
    <w:rsid w:val="00377422"/>
    <w:rsid w:val="00396150"/>
    <w:rsid w:val="003A081C"/>
    <w:rsid w:val="003A14FD"/>
    <w:rsid w:val="003A6332"/>
    <w:rsid w:val="003B1056"/>
    <w:rsid w:val="003B4C4A"/>
    <w:rsid w:val="003D1776"/>
    <w:rsid w:val="003F50FA"/>
    <w:rsid w:val="00416D4F"/>
    <w:rsid w:val="0044049F"/>
    <w:rsid w:val="004442E0"/>
    <w:rsid w:val="00454655"/>
    <w:rsid w:val="0045562E"/>
    <w:rsid w:val="00486759"/>
    <w:rsid w:val="004A1DDE"/>
    <w:rsid w:val="004A5CEA"/>
    <w:rsid w:val="004B2180"/>
    <w:rsid w:val="004B41BF"/>
    <w:rsid w:val="004C7DB2"/>
    <w:rsid w:val="004E0F6F"/>
    <w:rsid w:val="00503190"/>
    <w:rsid w:val="00507D20"/>
    <w:rsid w:val="005209EE"/>
    <w:rsid w:val="00524E68"/>
    <w:rsid w:val="0052597E"/>
    <w:rsid w:val="00551398"/>
    <w:rsid w:val="00564F07"/>
    <w:rsid w:val="00571AF2"/>
    <w:rsid w:val="00600E8C"/>
    <w:rsid w:val="006444EA"/>
    <w:rsid w:val="00655758"/>
    <w:rsid w:val="0066342E"/>
    <w:rsid w:val="006A4667"/>
    <w:rsid w:val="006A5A68"/>
    <w:rsid w:val="006C6DFB"/>
    <w:rsid w:val="006D4343"/>
    <w:rsid w:val="006E6FC3"/>
    <w:rsid w:val="006F4707"/>
    <w:rsid w:val="00712B41"/>
    <w:rsid w:val="00725EBD"/>
    <w:rsid w:val="00743828"/>
    <w:rsid w:val="00781867"/>
    <w:rsid w:val="00782A11"/>
    <w:rsid w:val="007A2855"/>
    <w:rsid w:val="007A4262"/>
    <w:rsid w:val="007F491C"/>
    <w:rsid w:val="00802B61"/>
    <w:rsid w:val="00810BE7"/>
    <w:rsid w:val="00825E05"/>
    <w:rsid w:val="00835999"/>
    <w:rsid w:val="00846C2E"/>
    <w:rsid w:val="0085179D"/>
    <w:rsid w:val="00891B87"/>
    <w:rsid w:val="008961B2"/>
    <w:rsid w:val="008978F8"/>
    <w:rsid w:val="008D1587"/>
    <w:rsid w:val="00906ECD"/>
    <w:rsid w:val="00920CC4"/>
    <w:rsid w:val="00923887"/>
    <w:rsid w:val="00924539"/>
    <w:rsid w:val="00937D4C"/>
    <w:rsid w:val="009413BA"/>
    <w:rsid w:val="00957C64"/>
    <w:rsid w:val="009677A5"/>
    <w:rsid w:val="00985CB2"/>
    <w:rsid w:val="00993F93"/>
    <w:rsid w:val="009F0575"/>
    <w:rsid w:val="009F505C"/>
    <w:rsid w:val="00A0349A"/>
    <w:rsid w:val="00A604AC"/>
    <w:rsid w:val="00A74DAC"/>
    <w:rsid w:val="00AA0FA3"/>
    <w:rsid w:val="00AB2213"/>
    <w:rsid w:val="00AE4057"/>
    <w:rsid w:val="00B05F6E"/>
    <w:rsid w:val="00B151FF"/>
    <w:rsid w:val="00B3742B"/>
    <w:rsid w:val="00B55A9F"/>
    <w:rsid w:val="00B6095C"/>
    <w:rsid w:val="00B94D1E"/>
    <w:rsid w:val="00BB75D0"/>
    <w:rsid w:val="00C04857"/>
    <w:rsid w:val="00C1363D"/>
    <w:rsid w:val="00C14648"/>
    <w:rsid w:val="00C163C5"/>
    <w:rsid w:val="00C60431"/>
    <w:rsid w:val="00C628DC"/>
    <w:rsid w:val="00C6538E"/>
    <w:rsid w:val="00C67CE4"/>
    <w:rsid w:val="00C92E2E"/>
    <w:rsid w:val="00CA4FE8"/>
    <w:rsid w:val="00CB3C13"/>
    <w:rsid w:val="00CD2655"/>
    <w:rsid w:val="00CD7C1B"/>
    <w:rsid w:val="00D21B16"/>
    <w:rsid w:val="00D27E57"/>
    <w:rsid w:val="00D5137F"/>
    <w:rsid w:val="00D55564"/>
    <w:rsid w:val="00D62879"/>
    <w:rsid w:val="00D703E9"/>
    <w:rsid w:val="00D7161B"/>
    <w:rsid w:val="00D95563"/>
    <w:rsid w:val="00DB0608"/>
    <w:rsid w:val="00DE098B"/>
    <w:rsid w:val="00DE1BAE"/>
    <w:rsid w:val="00DE4694"/>
    <w:rsid w:val="00E00853"/>
    <w:rsid w:val="00E11557"/>
    <w:rsid w:val="00E2776F"/>
    <w:rsid w:val="00E511D6"/>
    <w:rsid w:val="00E71DE0"/>
    <w:rsid w:val="00EB720D"/>
    <w:rsid w:val="00EB79AF"/>
    <w:rsid w:val="00ED1D56"/>
    <w:rsid w:val="00EE6830"/>
    <w:rsid w:val="00EF1694"/>
    <w:rsid w:val="00F2670C"/>
    <w:rsid w:val="00F64A30"/>
    <w:rsid w:val="00F67D89"/>
    <w:rsid w:val="00F84912"/>
    <w:rsid w:val="00FB2123"/>
    <w:rsid w:val="00FB75BA"/>
    <w:rsid w:val="05F12985"/>
    <w:rsid w:val="060E2A38"/>
    <w:rsid w:val="0D856DED"/>
    <w:rsid w:val="10355B8C"/>
    <w:rsid w:val="25395402"/>
    <w:rsid w:val="30234B0A"/>
    <w:rsid w:val="346D5B20"/>
    <w:rsid w:val="37353B9F"/>
    <w:rsid w:val="38373D9A"/>
    <w:rsid w:val="397843E3"/>
    <w:rsid w:val="398E7EBA"/>
    <w:rsid w:val="3A705780"/>
    <w:rsid w:val="3B47067B"/>
    <w:rsid w:val="3D1B71EE"/>
    <w:rsid w:val="50883BBB"/>
    <w:rsid w:val="56066EC4"/>
    <w:rsid w:val="585C5A5E"/>
    <w:rsid w:val="599941F6"/>
    <w:rsid w:val="7606315F"/>
    <w:rsid w:val="77AC7F40"/>
    <w:rsid w:val="79F26AB3"/>
    <w:rsid w:val="7A724E05"/>
    <w:rsid w:val="7D1B73F3"/>
    <w:rsid w:val="7DE687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0"/>
    <w:qFormat/>
    <w:uiPriority w:val="0"/>
    <w:rPr>
      <w:rFonts w:ascii="Times New Roman" w:hAnsi="Times New Roman" w:cs="Times New Roman"/>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2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eastAsia="宋体" w:cs="Courier"/>
      <w:kern w:val="0"/>
      <w:sz w:val="20"/>
      <w:szCs w:val="20"/>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4"/>
    <w:qFormat/>
    <w:uiPriority w:val="99"/>
    <w:rPr>
      <w:sz w:val="18"/>
      <w:szCs w:val="18"/>
    </w:rPr>
  </w:style>
  <w:style w:type="character" w:customStyle="1" w:styleId="11">
    <w:name w:val="页脚 Char"/>
    <w:basedOn w:val="9"/>
    <w:link w:val="3"/>
    <w:qFormat/>
    <w:uiPriority w:val="99"/>
    <w:rPr>
      <w:sz w:val="18"/>
      <w:szCs w:val="18"/>
    </w:rPr>
  </w:style>
  <w:style w:type="character" w:customStyle="1" w:styleId="12">
    <w:name w:val="段 Char"/>
    <w:basedOn w:val="9"/>
    <w:link w:val="13"/>
    <w:qFormat/>
    <w:uiPriority w:val="0"/>
    <w:rPr>
      <w:rFonts w:ascii="宋体" w:eastAsia="宋体"/>
    </w:rPr>
  </w:style>
  <w:style w:type="paragraph" w:customStyle="1" w:styleId="13">
    <w:name w:val="段"/>
    <w:link w:val="12"/>
    <w:qFormat/>
    <w:uiPriority w:val="0"/>
    <w:pPr>
      <w:tabs>
        <w:tab w:val="center" w:pos="4201"/>
        <w:tab w:val="right" w:leader="dot" w:pos="9298"/>
      </w:tabs>
      <w:autoSpaceDE w:val="0"/>
      <w:autoSpaceDN w:val="0"/>
      <w:ind w:firstLine="420" w:firstLineChars="200"/>
      <w:jc w:val="both"/>
    </w:pPr>
    <w:rPr>
      <w:rFonts w:ascii="宋体" w:eastAsia="宋体" w:hAnsiTheme="minorHAnsi" w:cstheme="minorBidi"/>
      <w:kern w:val="2"/>
      <w:sz w:val="21"/>
      <w:szCs w:val="22"/>
      <w:lang w:val="en-US" w:eastAsia="zh-CN" w:bidi="ar-SA"/>
    </w:rPr>
  </w:style>
  <w:style w:type="character" w:customStyle="1" w:styleId="14">
    <w:name w:val="fontstyle01"/>
    <w:basedOn w:val="9"/>
    <w:qFormat/>
    <w:uiPriority w:val="0"/>
    <w:rPr>
      <w:rFonts w:hint="default" w:ascii="E-BZ+ZHIG8a-1" w:hAnsi="E-BZ+ZHIG8a-1"/>
      <w:color w:val="000000"/>
      <w:sz w:val="16"/>
      <w:szCs w:val="16"/>
    </w:rPr>
  </w:style>
  <w:style w:type="table" w:customStyle="1" w:styleId="15">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table" w:customStyle="1" w:styleId="16">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7">
    <w:name w:val="Table Paragraph"/>
    <w:basedOn w:val="1"/>
    <w:qFormat/>
    <w:uiPriority w:val="1"/>
    <w:pPr>
      <w:autoSpaceDE w:val="0"/>
      <w:autoSpaceDN w:val="0"/>
      <w:jc w:val="center"/>
    </w:pPr>
    <w:rPr>
      <w:rFonts w:ascii="宋体" w:hAnsi="宋体" w:eastAsia="宋体" w:cs="宋体"/>
      <w:kern w:val="0"/>
      <w:sz w:val="22"/>
      <w:lang w:eastAsia="en-US"/>
    </w:rPr>
  </w:style>
  <w:style w:type="paragraph" w:customStyle="1" w:styleId="18">
    <w:name w:val="Other|1"/>
    <w:basedOn w:val="1"/>
    <w:qFormat/>
    <w:uiPriority w:val="0"/>
    <w:pPr>
      <w:spacing w:line="360" w:lineRule="auto"/>
      <w:ind w:firstLine="400"/>
    </w:pPr>
    <w:rPr>
      <w:rFonts w:ascii="宋体" w:hAnsi="宋体" w:eastAsia="宋体" w:cs="宋体"/>
      <w:sz w:val="18"/>
      <w:szCs w:val="18"/>
      <w:lang w:val="zh-TW" w:eastAsia="zh-TW" w:bidi="zh-TW"/>
    </w:rPr>
  </w:style>
  <w:style w:type="paragraph" w:customStyle="1" w:styleId="19">
    <w:name w:val="Body text|1"/>
    <w:basedOn w:val="1"/>
    <w:qFormat/>
    <w:uiPriority w:val="0"/>
    <w:pPr>
      <w:spacing w:line="360" w:lineRule="auto"/>
      <w:ind w:firstLine="400"/>
    </w:pPr>
    <w:rPr>
      <w:rFonts w:ascii="宋体" w:hAnsi="宋体" w:eastAsia="宋体" w:cs="宋体"/>
      <w:sz w:val="18"/>
      <w:szCs w:val="18"/>
      <w:lang w:val="zh-TW" w:eastAsia="zh-TW" w:bidi="zh-TW"/>
    </w:rPr>
  </w:style>
  <w:style w:type="character" w:customStyle="1" w:styleId="20">
    <w:name w:val="批注框文本 Char"/>
    <w:link w:val="2"/>
    <w:qFormat/>
    <w:uiPriority w:val="0"/>
    <w:rPr>
      <w:kern w:val="2"/>
      <w:sz w:val="18"/>
      <w:szCs w:val="18"/>
    </w:rPr>
  </w:style>
  <w:style w:type="character" w:customStyle="1" w:styleId="21">
    <w:name w:val="批注框文本 字符1"/>
    <w:basedOn w:val="9"/>
    <w:semiHidden/>
    <w:qFormat/>
    <w:uiPriority w:val="99"/>
    <w:rPr>
      <w:rFonts w:asciiTheme="minorHAnsi" w:hAnsiTheme="minorHAnsi" w:cstheme="minorBidi"/>
      <w:kern w:val="2"/>
      <w:sz w:val="18"/>
      <w:szCs w:val="18"/>
    </w:rPr>
  </w:style>
  <w:style w:type="paragraph" w:customStyle="1" w:styleId="22">
    <w:name w:val="标准文件_二级条标题"/>
    <w:next w:val="1"/>
    <w:qFormat/>
    <w:uiPriority w:val="0"/>
    <w:pPr>
      <w:widowControl w:val="0"/>
      <w:numPr>
        <w:ilvl w:val="3"/>
        <w:numId w:val="1"/>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23">
    <w:name w:val="标准文件_三级条标题"/>
    <w:basedOn w:val="22"/>
    <w:next w:val="1"/>
    <w:qFormat/>
    <w:uiPriority w:val="0"/>
    <w:pPr>
      <w:widowControl/>
      <w:numPr>
        <w:ilvl w:val="4"/>
      </w:numPr>
      <w:outlineLvl w:val="3"/>
    </w:pPr>
  </w:style>
  <w:style w:type="paragraph" w:customStyle="1" w:styleId="24">
    <w:name w:val="标准文件_四级条标题"/>
    <w:next w:val="1"/>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5">
    <w:name w:val="标准文件_五级条标题"/>
    <w:next w:val="1"/>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6">
    <w:name w:val="标准文件_章标题"/>
    <w:next w:val="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7">
    <w:name w:val="标准文件_一级条标题"/>
    <w:basedOn w:val="26"/>
    <w:next w:val="1"/>
    <w:qFormat/>
    <w:uiPriority w:val="0"/>
    <w:pPr>
      <w:numPr>
        <w:ilvl w:val="2"/>
      </w:numPr>
      <w:spacing w:before="50" w:beforeLines="50" w:after="50" w:afterLines="50"/>
      <w:outlineLvl w:val="1"/>
    </w:pPr>
  </w:style>
  <w:style w:type="paragraph" w:customStyle="1" w:styleId="28">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29">
    <w:name w:val="HTML 预设格式 Char"/>
    <w:basedOn w:val="9"/>
    <w:link w:val="5"/>
    <w:qFormat/>
    <w:uiPriority w:val="99"/>
    <w:rPr>
      <w:rFonts w:ascii="Courier" w:hAnsi="Courier" w:cs="Courier"/>
    </w:rPr>
  </w:style>
  <w:style w:type="character" w:styleId="30">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C:\Users\dadadaY\AppData\Local\Temp\baiduyunguanjia\onlinedit\cache\2befb92f5c1e22ab23769656e4d47ab3\&#30707;&#33750;&#33970;i&#19981;&#21516;&#37319;&#25910;&#26399;&#21464;&#21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生长期挥发油含量</a:t>
            </a:r>
            <a:endParaRPr lang="zh-CN" altLang="en-US" sz="1000"/>
          </a:p>
        </c:rich>
      </c:tx>
      <c:layout/>
      <c:overlay val="false"/>
      <c:spPr>
        <a:noFill/>
        <a:ln>
          <a:noFill/>
        </a:ln>
        <a:effectLst/>
      </c:spPr>
    </c:title>
    <c:autoTitleDeleted val="false"/>
    <c:plotArea>
      <c:layout/>
      <c:lineChart>
        <c:grouping val="standard"/>
        <c:varyColors val="false"/>
        <c:ser>
          <c:idx val="0"/>
          <c:order val="0"/>
          <c:tx>
            <c:strRef>
              <c:f>Sheet1!$B$19</c:f>
              <c:strCache>
                <c:ptCount val="1"/>
                <c:pt idx="0">
                  <c:v>主根</c:v>
                </c:pt>
              </c:strCache>
            </c:strRef>
          </c:tx>
          <c:spPr>
            <a:ln w="28575" cap="rnd" cmpd="sng" algn="ctr">
              <a:solidFill>
                <a:schemeClr val="accent1"/>
              </a:solidFill>
              <a:prstDash val="solid"/>
              <a:round/>
            </a:ln>
            <a:effectLst/>
          </c:spPr>
          <c:marker>
            <c:symbol val="none"/>
          </c:marker>
          <c:dLbls>
            <c:delete val="true"/>
          </c:dLbls>
          <c:errBars>
            <c:errDir val="y"/>
            <c:errBarType val="both"/>
            <c:errValType val="stdErr"/>
            <c:noEndCap val="false"/>
            <c:spPr>
              <a:noFill/>
              <a:ln w="9525" cap="flat" cmpd="sng" algn="ctr">
                <a:solidFill>
                  <a:schemeClr val="tx1">
                    <a:lumMod val="65000"/>
                    <a:lumOff val="35000"/>
                  </a:schemeClr>
                </a:solidFill>
                <a:prstDash val="solid"/>
                <a:round/>
              </a:ln>
              <a:effectLst/>
            </c:spPr>
          </c:errBars>
          <c:cat>
            <c:strRef>
              <c:f>Sheet1!$C$18:$O$18</c:f>
              <c:strCache>
                <c:ptCount val="13"/>
                <c:pt idx="0">
                  <c:v>三月</c:v>
                </c:pt>
                <c:pt idx="1">
                  <c:v>四月</c:v>
                </c:pt>
                <c:pt idx="2">
                  <c:v>五月</c:v>
                </c:pt>
                <c:pt idx="3">
                  <c:v>六月</c:v>
                </c:pt>
                <c:pt idx="4">
                  <c:v>七月</c:v>
                </c:pt>
                <c:pt idx="5">
                  <c:v>八月</c:v>
                </c:pt>
                <c:pt idx="6">
                  <c:v>九月</c:v>
                </c:pt>
                <c:pt idx="7">
                  <c:v>十月上旬</c:v>
                </c:pt>
                <c:pt idx="8">
                  <c:v>十月下旬</c:v>
                </c:pt>
                <c:pt idx="9">
                  <c:v>十一月上旬</c:v>
                </c:pt>
                <c:pt idx="10">
                  <c:v>十一月下旬</c:v>
                </c:pt>
                <c:pt idx="11">
                  <c:v>十二月上旬</c:v>
                </c:pt>
                <c:pt idx="12">
                  <c:v>十二月下旬</c:v>
                </c:pt>
              </c:strCache>
            </c:strRef>
          </c:cat>
          <c:val>
            <c:numRef>
              <c:f>Sheet1!$C$19:$O$19</c:f>
              <c:numCache>
                <c:formatCode>0.00%</c:formatCode>
                <c:ptCount val="13"/>
                <c:pt idx="0">
                  <c:v>0.016</c:v>
                </c:pt>
                <c:pt idx="1">
                  <c:v>0.0186</c:v>
                </c:pt>
                <c:pt idx="2">
                  <c:v>0.0173</c:v>
                </c:pt>
                <c:pt idx="3">
                  <c:v>0.0173</c:v>
                </c:pt>
                <c:pt idx="4">
                  <c:v>0.0186</c:v>
                </c:pt>
                <c:pt idx="5">
                  <c:v>0.0186</c:v>
                </c:pt>
                <c:pt idx="6">
                  <c:v>0.0213</c:v>
                </c:pt>
                <c:pt idx="7">
                  <c:v>0.024</c:v>
                </c:pt>
                <c:pt idx="8">
                  <c:v>0.0253</c:v>
                </c:pt>
                <c:pt idx="9">
                  <c:v>0.0244</c:v>
                </c:pt>
                <c:pt idx="10">
                  <c:v>0.02</c:v>
                </c:pt>
                <c:pt idx="11">
                  <c:v>0.02</c:v>
                </c:pt>
                <c:pt idx="12">
                  <c:v>0.019</c:v>
                </c:pt>
              </c:numCache>
            </c:numRef>
          </c:val>
          <c:smooth val="false"/>
        </c:ser>
        <c:ser>
          <c:idx val="1"/>
          <c:order val="1"/>
          <c:tx>
            <c:strRef>
              <c:f>Sheet1!$B$20</c:f>
              <c:strCache>
                <c:ptCount val="1"/>
                <c:pt idx="0">
                  <c:v>叶</c:v>
                </c:pt>
              </c:strCache>
            </c:strRef>
          </c:tx>
          <c:spPr>
            <a:ln w="28575" cap="rnd" cmpd="sng" algn="ctr">
              <a:solidFill>
                <a:schemeClr val="accent2"/>
              </a:solidFill>
              <a:prstDash val="solid"/>
              <a:round/>
            </a:ln>
            <a:effectLst/>
          </c:spPr>
          <c:marker>
            <c:symbol val="none"/>
          </c:marker>
          <c:dLbls>
            <c:delete val="true"/>
          </c:dLbls>
          <c:errBars>
            <c:errDir val="y"/>
            <c:errBarType val="both"/>
            <c:errValType val="stdErr"/>
            <c:noEndCap val="false"/>
            <c:spPr>
              <a:noFill/>
              <a:ln w="9525" cap="flat" cmpd="sng" algn="ctr">
                <a:solidFill>
                  <a:schemeClr val="tx1">
                    <a:lumMod val="65000"/>
                    <a:lumOff val="35000"/>
                  </a:schemeClr>
                </a:solidFill>
                <a:prstDash val="solid"/>
                <a:round/>
              </a:ln>
              <a:effectLst/>
            </c:spPr>
          </c:errBars>
          <c:cat>
            <c:strRef>
              <c:f>Sheet1!$C$18:$O$18</c:f>
              <c:strCache>
                <c:ptCount val="13"/>
                <c:pt idx="0">
                  <c:v>三月</c:v>
                </c:pt>
                <c:pt idx="1">
                  <c:v>四月</c:v>
                </c:pt>
                <c:pt idx="2">
                  <c:v>五月</c:v>
                </c:pt>
                <c:pt idx="3">
                  <c:v>六月</c:v>
                </c:pt>
                <c:pt idx="4">
                  <c:v>七月</c:v>
                </c:pt>
                <c:pt idx="5">
                  <c:v>八月</c:v>
                </c:pt>
                <c:pt idx="6">
                  <c:v>九月</c:v>
                </c:pt>
                <c:pt idx="7">
                  <c:v>十月上旬</c:v>
                </c:pt>
                <c:pt idx="8">
                  <c:v>十月下旬</c:v>
                </c:pt>
                <c:pt idx="9">
                  <c:v>十一月上旬</c:v>
                </c:pt>
                <c:pt idx="10">
                  <c:v>十一月下旬</c:v>
                </c:pt>
                <c:pt idx="11">
                  <c:v>十二月上旬</c:v>
                </c:pt>
                <c:pt idx="12">
                  <c:v>十二月下旬</c:v>
                </c:pt>
              </c:strCache>
            </c:strRef>
          </c:cat>
          <c:val>
            <c:numRef>
              <c:f>Sheet1!$C$20:$O$20</c:f>
              <c:numCache>
                <c:formatCode>0.00%</c:formatCode>
                <c:ptCount val="13"/>
                <c:pt idx="0">
                  <c:v>0.014</c:v>
                </c:pt>
                <c:pt idx="1">
                  <c:v>0.013</c:v>
                </c:pt>
                <c:pt idx="2">
                  <c:v>0.0125</c:v>
                </c:pt>
                <c:pt idx="3">
                  <c:v>0.014</c:v>
                </c:pt>
                <c:pt idx="4">
                  <c:v>0.0165</c:v>
                </c:pt>
                <c:pt idx="5">
                  <c:v>0.0175</c:v>
                </c:pt>
                <c:pt idx="6">
                  <c:v>0.018</c:v>
                </c:pt>
                <c:pt idx="7">
                  <c:v>0.0175</c:v>
                </c:pt>
                <c:pt idx="8">
                  <c:v>0.017</c:v>
                </c:pt>
                <c:pt idx="9">
                  <c:v>0.0165</c:v>
                </c:pt>
                <c:pt idx="10">
                  <c:v>0.0158</c:v>
                </c:pt>
                <c:pt idx="11">
                  <c:v>0.0158</c:v>
                </c:pt>
                <c:pt idx="12">
                  <c:v>0.014</c:v>
                </c:pt>
              </c:numCache>
            </c:numRef>
          </c:val>
          <c:smooth val="false"/>
        </c:ser>
        <c:ser>
          <c:idx val="2"/>
          <c:order val="2"/>
          <c:tx>
            <c:strRef>
              <c:f>Sheet1!$B$21</c:f>
              <c:strCache>
                <c:ptCount val="1"/>
                <c:pt idx="0">
                  <c:v>须根</c:v>
                </c:pt>
              </c:strCache>
            </c:strRef>
          </c:tx>
          <c:spPr>
            <a:ln w="28575" cap="rnd" cmpd="sng" algn="ctr">
              <a:solidFill>
                <a:schemeClr val="accent3"/>
              </a:solidFill>
              <a:prstDash val="solid"/>
              <a:round/>
            </a:ln>
            <a:effectLst/>
          </c:spPr>
          <c:marker>
            <c:symbol val="none"/>
          </c:marker>
          <c:dLbls>
            <c:delete val="true"/>
          </c:dLbls>
          <c:errBars>
            <c:errDir val="y"/>
            <c:errBarType val="both"/>
            <c:errValType val="stdErr"/>
            <c:noEndCap val="false"/>
            <c:spPr>
              <a:noFill/>
              <a:ln w="9525" cap="flat" cmpd="sng" algn="ctr">
                <a:solidFill>
                  <a:schemeClr val="tx1">
                    <a:lumMod val="65000"/>
                    <a:lumOff val="35000"/>
                  </a:schemeClr>
                </a:solidFill>
                <a:prstDash val="solid"/>
                <a:round/>
              </a:ln>
              <a:effectLst/>
            </c:spPr>
          </c:errBars>
          <c:cat>
            <c:strRef>
              <c:f>Sheet1!$C$18:$O$18</c:f>
              <c:strCache>
                <c:ptCount val="13"/>
                <c:pt idx="0">
                  <c:v>三月</c:v>
                </c:pt>
                <c:pt idx="1">
                  <c:v>四月</c:v>
                </c:pt>
                <c:pt idx="2">
                  <c:v>五月</c:v>
                </c:pt>
                <c:pt idx="3">
                  <c:v>六月</c:v>
                </c:pt>
                <c:pt idx="4">
                  <c:v>七月</c:v>
                </c:pt>
                <c:pt idx="5">
                  <c:v>八月</c:v>
                </c:pt>
                <c:pt idx="6">
                  <c:v>九月</c:v>
                </c:pt>
                <c:pt idx="7">
                  <c:v>十月上旬</c:v>
                </c:pt>
                <c:pt idx="8">
                  <c:v>十月下旬</c:v>
                </c:pt>
                <c:pt idx="9">
                  <c:v>十一月上旬</c:v>
                </c:pt>
                <c:pt idx="10">
                  <c:v>十一月下旬</c:v>
                </c:pt>
                <c:pt idx="11">
                  <c:v>十二月上旬</c:v>
                </c:pt>
                <c:pt idx="12">
                  <c:v>十二月下旬</c:v>
                </c:pt>
              </c:strCache>
            </c:strRef>
          </c:cat>
          <c:val>
            <c:numRef>
              <c:f>Sheet1!$C$21:$O$21</c:f>
              <c:numCache>
                <c:formatCode>0.00%</c:formatCode>
                <c:ptCount val="13"/>
                <c:pt idx="0">
                  <c:v>0.0145</c:v>
                </c:pt>
                <c:pt idx="1">
                  <c:v>0.0145</c:v>
                </c:pt>
                <c:pt idx="2">
                  <c:v>0.014</c:v>
                </c:pt>
                <c:pt idx="3">
                  <c:v>0.0145</c:v>
                </c:pt>
                <c:pt idx="4">
                  <c:v>0.015</c:v>
                </c:pt>
                <c:pt idx="5">
                  <c:v>0.0157</c:v>
                </c:pt>
                <c:pt idx="6">
                  <c:v>0.016</c:v>
                </c:pt>
                <c:pt idx="7">
                  <c:v>0.016</c:v>
                </c:pt>
                <c:pt idx="8">
                  <c:v>0.0158</c:v>
                </c:pt>
                <c:pt idx="9">
                  <c:v>0.018</c:v>
                </c:pt>
                <c:pt idx="10">
                  <c:v>0.0175</c:v>
                </c:pt>
                <c:pt idx="11">
                  <c:v>0.0175</c:v>
                </c:pt>
                <c:pt idx="12">
                  <c:v>0.0135</c:v>
                </c:pt>
              </c:numCache>
            </c:numRef>
          </c:val>
          <c:smooth val="false"/>
        </c:ser>
        <c:dLbls>
          <c:showLegendKey val="false"/>
          <c:showVal val="false"/>
          <c:showCatName val="false"/>
          <c:showSerName val="false"/>
          <c:showPercent val="false"/>
          <c:showBubbleSize val="false"/>
        </c:dLbls>
        <c:marker val="false"/>
        <c:smooth val="false"/>
        <c:axId val="408376064"/>
        <c:axId val="408377600"/>
      </c:lineChart>
      <c:catAx>
        <c:axId val="408376064"/>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0" spcFirstLastPara="1" vertOverflow="ellipsis" vert="eaVert" wrap="square" anchor="ctr" anchorCtr="false"/>
          <a:lstStyle/>
          <a:p>
            <a:pPr>
              <a:defRPr lang="zh-CN" sz="900" b="0" i="0" u="none" strike="noStrike" kern="1200" baseline="0">
                <a:solidFill>
                  <a:schemeClr val="tx1">
                    <a:lumMod val="65000"/>
                    <a:lumOff val="35000"/>
                  </a:schemeClr>
                </a:solidFill>
                <a:latin typeface="+mn-lt"/>
                <a:ea typeface="+mn-ea"/>
                <a:cs typeface="+mn-cs"/>
              </a:defRPr>
            </a:pPr>
          </a:p>
        </c:txPr>
        <c:crossAx val="408377600"/>
        <c:crosses val="autoZero"/>
        <c:auto val="true"/>
        <c:lblAlgn val="ctr"/>
        <c:lblOffset val="100"/>
        <c:noMultiLvlLbl val="false"/>
      </c:catAx>
      <c:valAx>
        <c:axId val="408377600"/>
        <c:scaling>
          <c:orientation val="minMax"/>
        </c:scaling>
        <c:delete val="false"/>
        <c:axPos val="l"/>
        <c:numFmt formatCode="0.00%" sourceLinked="true"/>
        <c:majorTickMark val="in"/>
        <c:minorTickMark val="none"/>
        <c:tickLblPos val="nextTo"/>
        <c:spPr>
          <a:noFill/>
          <a:ln w="9525" cap="flat" cmpd="sng" algn="ctr">
            <a:solidFill>
              <a:sysClr val="windowText" lastClr="000000"/>
            </a:solidFill>
            <a:prstDash val="solid"/>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08376064"/>
        <c:crosses val="autoZero"/>
        <c:crossBetween val="between"/>
      </c:valAx>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Company>
  <Pages>11</Pages>
  <Words>1155</Words>
  <Characters>6588</Characters>
  <Lines>54</Lines>
  <Paragraphs>15</Paragraphs>
  <TotalTime>0</TotalTime>
  <ScaleCrop>false</ScaleCrop>
  <LinksUpToDate>false</LinksUpToDate>
  <CharactersWithSpaces>7728</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2022-08-19T11:33:00Z</dcterms:created>
  <dc:creator>赵康宏</dc:creator>
  <cp:lastModifiedBy>greatwall</cp:lastModifiedBy>
  <dcterms:modified xsi:type="dcterms:W3CDTF">2022-10-10T11:34:17Z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F14255FA49C44D66B51466A785337067</vt:lpwstr>
  </property>
</Properties>
</file>